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rFonts w:hint="default"/>
          <w:b/>
          <w:kern w:val="2"/>
          <w:lang w:val="en-US" w:eastAsia="zh-CN"/>
        </w:rPr>
      </w:pPr>
      <w:r>
        <w:rPr>
          <w:b/>
          <w:kern w:val="2"/>
          <w:lang w:eastAsia="zh-CN"/>
        </w:rPr>
        <w:t>3GPP TSG-RAN WG1 Meeting #</w:t>
      </w:r>
      <w:r>
        <w:rPr>
          <w:rFonts w:hint="eastAsia"/>
          <w:b/>
          <w:kern w:val="2"/>
          <w:lang w:val="en-US" w:eastAsia="zh-CN"/>
        </w:rPr>
        <w:t>117</w:t>
      </w:r>
      <w:r>
        <w:rPr>
          <w:b/>
          <w:kern w:val="2"/>
          <w:lang w:eastAsia="zh-CN"/>
        </w:rPr>
        <w:tab/>
      </w:r>
      <w:r>
        <w:rPr>
          <w:b/>
          <w:kern w:val="2"/>
          <w:lang w:eastAsia="zh-CN"/>
        </w:rPr>
        <w:t>R1-</w:t>
      </w:r>
      <w:r>
        <w:rPr>
          <w:rFonts w:hint="eastAsia"/>
          <w:b/>
          <w:kern w:val="2"/>
          <w:lang w:val="en-US" w:eastAsia="zh-CN"/>
        </w:rPr>
        <w:t>2404004</w:t>
      </w:r>
    </w:p>
    <w:p>
      <w:pPr>
        <w:rPr>
          <w:b/>
          <w:kern w:val="2"/>
          <w:lang w:eastAsia="zh-CN"/>
        </w:rPr>
      </w:pPr>
      <w:r>
        <w:rPr>
          <w:rFonts w:hint="eastAsia"/>
          <w:b/>
          <w:kern w:val="2"/>
          <w:lang w:val="en-US" w:eastAsia="zh-CN"/>
        </w:rPr>
        <w:fldChar w:fldCharType="begin"/>
      </w:r>
      <w:r>
        <w:rPr>
          <w:rFonts w:hint="eastAsia"/>
          <w:b/>
          <w:kern w:val="2"/>
          <w:lang w:val="en-US" w:eastAsia="zh-CN"/>
        </w:rPr>
        <w:instrText xml:space="preserve"> HYPERLINK "https://www.3gpp.org//ftp/TSG_RAN/WG1_RL1/TSGR1_117/Invitation/" \t "https://www.3gpp.org/_blank" </w:instrText>
      </w:r>
      <w:r>
        <w:rPr>
          <w:rFonts w:hint="eastAsia"/>
          <w:b/>
          <w:kern w:val="2"/>
          <w:lang w:val="en-US" w:eastAsia="zh-CN"/>
        </w:rPr>
        <w:fldChar w:fldCharType="separate"/>
      </w:r>
      <w:r>
        <w:rPr>
          <w:rFonts w:hint="default"/>
          <w:b/>
          <w:kern w:val="2"/>
          <w:lang w:val="en-US" w:eastAsia="zh-CN"/>
        </w:rPr>
        <w:t>Fukuoka</w:t>
      </w:r>
      <w:r>
        <w:rPr>
          <w:rFonts w:hint="default"/>
          <w:b/>
          <w:kern w:val="2"/>
          <w:lang w:val="en-US" w:eastAsia="zh-CN"/>
        </w:rPr>
        <w:fldChar w:fldCharType="end"/>
      </w:r>
      <w:r>
        <w:rPr>
          <w:b/>
          <w:kern w:val="2"/>
          <w:lang w:eastAsia="zh-CN"/>
        </w:rPr>
        <w:t xml:space="preserve">, </w:t>
      </w:r>
      <w:r>
        <w:rPr>
          <w:rFonts w:hint="eastAsia"/>
          <w:b/>
          <w:kern w:val="2"/>
          <w:lang w:val="en-US" w:eastAsia="zh-CN"/>
        </w:rPr>
        <w:t>Japan</w:t>
      </w:r>
      <w:r>
        <w:rPr>
          <w:b/>
          <w:kern w:val="2"/>
          <w:lang w:eastAsia="zh-CN"/>
        </w:rPr>
        <w:t>, 2</w:t>
      </w:r>
      <w:r>
        <w:rPr>
          <w:rFonts w:hint="eastAsia"/>
          <w:b/>
          <w:kern w:val="2"/>
          <w:lang w:val="en-US" w:eastAsia="zh-CN"/>
        </w:rPr>
        <w:t>0</w:t>
      </w:r>
      <w:r>
        <w:rPr>
          <w:b/>
          <w:kern w:val="2"/>
          <w:lang w:eastAsia="zh-CN"/>
        </w:rPr>
        <w:t>-2</w:t>
      </w:r>
      <w:r>
        <w:rPr>
          <w:rFonts w:hint="eastAsia"/>
          <w:b/>
          <w:kern w:val="2"/>
          <w:lang w:val="en-US" w:eastAsia="zh-CN"/>
        </w:rPr>
        <w:t>4</w:t>
      </w:r>
      <w:r>
        <w:rPr>
          <w:b/>
          <w:kern w:val="2"/>
          <w:lang w:eastAsia="zh-CN"/>
        </w:rPr>
        <w:t xml:space="preserve"> May, 202</w:t>
      </w:r>
      <w:r>
        <w:rPr>
          <w:rFonts w:hint="eastAsia"/>
          <w:b/>
          <w:kern w:val="2"/>
          <w:lang w:val="en-US" w:eastAsia="zh-CN"/>
        </w:rPr>
        <w:t>4</w:t>
      </w:r>
    </w:p>
    <w:p>
      <w:pPr>
        <w:pBdr>
          <w:top w:val="single" w:color="auto" w:sz="4" w:space="1"/>
        </w:pBdr>
        <w:spacing w:after="0"/>
        <w:rPr>
          <w:b/>
          <w:kern w:val="2"/>
          <w:sz w:val="16"/>
          <w:szCs w:val="16"/>
          <w:lang w:eastAsia="zh-CN"/>
        </w:rPr>
      </w:pPr>
    </w:p>
    <w:p>
      <w:pPr>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9.2.2</w:t>
      </w:r>
    </w:p>
    <w:p>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CSI enhancement</w:t>
      </w:r>
    </w:p>
    <w:p>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pPr>
        <w:pBdr>
          <w:bottom w:val="single" w:color="auto" w:sz="4" w:space="1"/>
        </w:pBdr>
        <w:spacing w:after="0"/>
        <w:rPr>
          <w:b/>
          <w:kern w:val="2"/>
          <w:sz w:val="16"/>
          <w:szCs w:val="16"/>
          <w:lang w:eastAsia="zh-CN"/>
        </w:rPr>
      </w:pPr>
    </w:p>
    <w:p>
      <w:pPr>
        <w:pStyle w:val="2"/>
      </w:pPr>
      <w:bookmarkStart w:id="0" w:name="_Ref129681862"/>
      <w:bookmarkStart w:id="1" w:name="_Ref124589705"/>
      <w:r>
        <w:t>Introduction</w:t>
      </w:r>
      <w:bookmarkEnd w:id="0"/>
      <w:bookmarkEnd w:id="1"/>
    </w:p>
    <w:p>
      <w:pPr>
        <w:rPr>
          <w:rFonts w:hint="default"/>
          <w:lang w:val="en-US" w:eastAsia="zh-CN"/>
        </w:rPr>
      </w:pPr>
      <w:bookmarkStart w:id="2" w:name="_Ref129681832"/>
      <w:r>
        <w:rPr>
          <w:rFonts w:hint="eastAsia"/>
          <w:lang w:eastAsia="zh-CN"/>
        </w:rPr>
        <w:t>In</w:t>
      </w:r>
      <w:r>
        <w:rPr>
          <w:lang w:eastAsia="zh-CN"/>
        </w:rPr>
        <w:t xml:space="preserve"> last meeting, there was good progress on enhancements of CSI acquisition </w:t>
      </w:r>
      <w:r>
        <w:rPr>
          <w:rFonts w:hint="eastAsia"/>
          <w:lang w:val="en-US" w:eastAsia="zh-CN"/>
        </w:rPr>
        <w:t xml:space="preserve">for supporting up to 128 CSI-RS ports on FR1 and UE reporting refinement for CJT with agreement agreed </w:t>
      </w:r>
      <w:r>
        <w:rPr>
          <w:lang w:eastAsia="zh-CN"/>
        </w:rPr>
        <w:t xml:space="preserve">[1]. </w:t>
      </w:r>
    </w:p>
    <w:p>
      <w:pPr>
        <w:rPr>
          <w:rFonts w:hint="default" w:eastAsia="宋体"/>
          <w:lang w:val="en-US" w:eastAsia="zh-CN"/>
        </w:rPr>
      </w:pPr>
      <w:r>
        <w:rPr>
          <w:rFonts w:hint="eastAsia" w:eastAsia="宋体"/>
          <w:lang w:val="en-US" w:eastAsia="zh-CN"/>
        </w:rPr>
        <w:t xml:space="preserve">In this contribution, our views on CSI enhancement for supporting up to 128 CSI-RS ports on FR1 and UE reporting enhancement for CJT are provided . </w:t>
      </w:r>
    </w:p>
    <w:p>
      <w:pPr>
        <w:pStyle w:val="2"/>
        <w:rPr>
          <w:lang w:eastAsia="zh-CN"/>
        </w:rPr>
      </w:pPr>
      <w:r>
        <w:rPr>
          <w:rFonts w:hint="eastAsia"/>
          <w:lang w:val="en-US" w:eastAsia="zh-CN"/>
        </w:rPr>
        <w:t>CSI enhancement for supporting up to 128 antenna ports</w:t>
      </w:r>
    </w:p>
    <w:p>
      <w:pPr>
        <w:pStyle w:val="3"/>
        <w:bidi w:val="0"/>
        <w:rPr>
          <w:rFonts w:hint="default"/>
          <w:lang w:val="en-US" w:eastAsia="zh-CN"/>
        </w:rPr>
      </w:pPr>
      <w:r>
        <w:rPr>
          <w:iCs/>
          <w:szCs w:val="20"/>
        </w:rPr>
        <w:t>Group-based CBSR granularity</w:t>
      </w:r>
    </w:p>
    <w:p>
      <w:pPr>
        <w:rPr>
          <w:b/>
          <w:bCs/>
          <w:i/>
          <w:iCs/>
          <w:lang w:val="en-GB" w:eastAsia="zh-CN"/>
        </w:rPr>
      </w:pPr>
      <w:bookmarkStart w:id="3" w:name="OLE_LINK4"/>
      <w:r>
        <w:rPr>
          <w:rFonts w:ascii="Times New Roman" w:hAnsi="Times New Roman" w:eastAsiaTheme="minorEastAsia"/>
          <w:sz w:val="22"/>
          <w:lang w:eastAsia="zh-CN"/>
        </w:rPr>
        <w:t>In last meeting, the following agreement is achieved for</w:t>
      </w:r>
      <w:r>
        <w:rPr>
          <w:rFonts w:hint="eastAsia" w:ascii="Times New Roman" w:hAnsi="Times New Roman" w:eastAsiaTheme="minorEastAsia"/>
          <w:sz w:val="22"/>
          <w:lang w:val="en-US" w:eastAsia="zh-CN"/>
        </w:rPr>
        <w:t xml:space="preserve"> </w:t>
      </w:r>
      <w:r>
        <w:rPr>
          <w:rFonts w:hint="eastAsia" w:eastAsiaTheme="minorEastAsia"/>
          <w:sz w:val="22"/>
          <w:lang w:val="en-US" w:eastAsia="zh-CN"/>
        </w:rPr>
        <w:t>CBSR</w:t>
      </w:r>
      <w:r>
        <w:rPr>
          <w:rFonts w:ascii="Times New Roman" w:hAnsi="Times New Roman" w:eastAsiaTheme="minorEastAsia"/>
          <w:sz w:val="22"/>
          <w:lang w:eastAsia="zh-CN"/>
        </w:rPr>
        <w:t>.</w:t>
      </w:r>
    </w:p>
    <w:bookmarkEnd w:id="3"/>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rPr>
                <w:b/>
                <w:bCs/>
                <w:highlight w:val="green"/>
              </w:rPr>
            </w:pPr>
            <w:bookmarkStart w:id="4" w:name="OLE_LINK24"/>
            <w:r>
              <w:rPr>
                <w:b/>
                <w:bCs/>
                <w:highlight w:val="green"/>
              </w:rPr>
              <w:t>Agreement</w:t>
            </w:r>
          </w:p>
          <w:p>
            <w:pPr>
              <w:widowControl w:val="0"/>
              <w:snapToGrid w:val="0"/>
              <w:rPr>
                <w:iCs/>
                <w:szCs w:val="20"/>
              </w:rPr>
            </w:pPr>
            <w:r>
              <w:rPr>
                <w:szCs w:val="20"/>
              </w:rPr>
              <w:t xml:space="preserve">For the </w:t>
            </w:r>
            <w:r>
              <w:rPr>
                <w:iCs/>
                <w:szCs w:val="20"/>
              </w:rPr>
              <w:t>Rel-19 Type-I SP codebook refinement for 48, 64, and 128 CSI-RS ports, regarding CBSR design:</w:t>
            </w:r>
          </w:p>
          <w:p>
            <w:pPr>
              <w:widowControl w:val="0"/>
              <w:numPr>
                <w:ilvl w:val="0"/>
                <w:numId w:val="5"/>
              </w:numPr>
              <w:snapToGrid w:val="0"/>
              <w:rPr>
                <w:iCs/>
                <w:szCs w:val="20"/>
              </w:rPr>
            </w:pPr>
            <w:r>
              <w:rPr>
                <w:iCs/>
                <w:szCs w:val="20"/>
              </w:rPr>
              <w:t>1-bit hard restriction is supported (analogous to Rel-15 Type-I)</w:t>
            </w:r>
          </w:p>
          <w:p>
            <w:pPr>
              <w:widowControl w:val="0"/>
              <w:numPr>
                <w:ilvl w:val="0"/>
                <w:numId w:val="5"/>
              </w:numPr>
              <w:snapToGrid w:val="0"/>
              <w:rPr>
                <w:iCs/>
                <w:szCs w:val="20"/>
              </w:rPr>
            </w:pPr>
            <w:r>
              <w:rPr>
                <w:iCs/>
                <w:szCs w:val="20"/>
              </w:rPr>
              <w:t>FFS: 3-bit scaling factor for soft restriction with the scaling factor taken into account in CQI/PMI calculation</w:t>
            </w:r>
          </w:p>
          <w:p>
            <w:pPr>
              <w:widowControl w:val="0"/>
              <w:numPr>
                <w:ilvl w:val="0"/>
                <w:numId w:val="5"/>
              </w:numPr>
              <w:snapToGrid w:val="0"/>
              <w:rPr>
                <w:iCs/>
                <w:szCs w:val="20"/>
              </w:rPr>
            </w:pPr>
            <w:r>
              <w:rPr>
                <w:iCs/>
                <w:szCs w:val="20"/>
              </w:rPr>
              <w:t>Moving (N</w:t>
            </w:r>
            <w:r>
              <w:rPr>
                <w:iCs/>
                <w:szCs w:val="20"/>
                <w:vertAlign w:val="subscript"/>
              </w:rPr>
              <w:t>1</w:t>
            </w:r>
            <w:r>
              <w:rPr>
                <w:iCs/>
                <w:szCs w:val="20"/>
              </w:rPr>
              <w:t>, N</w:t>
            </w:r>
            <w:r>
              <w:rPr>
                <w:iCs/>
                <w:szCs w:val="20"/>
                <w:vertAlign w:val="subscript"/>
              </w:rPr>
              <w:t>2</w:t>
            </w:r>
            <w:r>
              <w:rPr>
                <w:iCs/>
                <w:szCs w:val="20"/>
              </w:rPr>
              <w:t>) configuration out from CBSR IE and the CBSR can be optional configured</w:t>
            </w:r>
          </w:p>
          <w:p>
            <w:pPr>
              <w:widowControl w:val="0"/>
              <w:numPr>
                <w:ilvl w:val="1"/>
                <w:numId w:val="5"/>
              </w:numPr>
              <w:snapToGrid w:val="0"/>
              <w:rPr>
                <w:iCs/>
                <w:szCs w:val="20"/>
              </w:rPr>
            </w:pPr>
            <w:r>
              <w:rPr>
                <w:iCs/>
                <w:szCs w:val="20"/>
              </w:rPr>
              <w:t>Send LS to RAN2, and subject to RAN2 consent</w:t>
            </w:r>
          </w:p>
          <w:p>
            <w:pPr>
              <w:widowControl w:val="0"/>
              <w:numPr>
                <w:ilvl w:val="0"/>
                <w:numId w:val="5"/>
              </w:numPr>
              <w:snapToGrid w:val="0"/>
              <w:rPr>
                <w:iCs/>
                <w:szCs w:val="20"/>
              </w:rPr>
            </w:pPr>
            <w:r>
              <w:rPr>
                <w:iCs/>
                <w:color w:val="FF0000"/>
                <w:szCs w:val="20"/>
              </w:rPr>
              <w:fldChar w:fldCharType="begin"/>
            </w:r>
            <w:r>
              <w:rPr>
                <w:iCs/>
                <w:color w:val="FF0000"/>
                <w:szCs w:val="20"/>
              </w:rPr>
              <w:instrText xml:space="preserve"> QUOTE </w:instrText>
            </w:r>
            <w:r>
              <w:rPr>
                <w:position w:val="-14"/>
              </w:rPr>
              <w:pict>
                <v:shape id="_x0000_i1025" o:spt="75" type="#_x0000_t75" style="height:18pt;width:42.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A784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2741&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2741&quot; wsp:rsidRDefault=&quot;00612741&quot; wsp:rsidP=&quot;00612741&quot;&gt;&lt;m:oMathPara&gt;&lt;m:oMath&gt;&lt;m:r&gt;&lt;w:rPr&gt;&lt;w:rFonts w:ascii=&quot;Cambria Math&quot; w:fareast=&quot;Cambria Math&quot; w:h-ansi=&quot;Cambria Math&quot;/&gt;&lt;wx:font wx:val=&quot;Cambria Math&quot;/&gt;&lt;w:i/&gt;&lt;w:color w:val=&quot;FF0000&quot;/&gt;&lt;w:sz-cs w:val=&quot;20&quot;/&gt;&lt;/w:rPr&gt;&lt;m:t&gt; &lt;/m:t&gt;&lt;/m:r&gt;&lt;m:f&gt;&lt;m:fPr&gt;&lt;m:ctrlPr&gt;&lt;w:rPr&gt;&lt;w:rFonts w:ascii=&quot;Cambria Math&quot; w:fareast=&quot;Cambria Math&quot; w:h-ansi=&quot;Cambria Math&quot;/&gt;&lt;wx:font wx:val=&quot;Cambria Math&quot;/&gt;&lt;w:i/&gt;&lt;w:i-cs/&gt;&lt;w:color w:val=&quot;FF0000&quot;/&gt;&lt;w:sz-cs w:val=&quot;20&quot;/&gt;&lt;/w:rPr&gt;&lt;/m:ctrlPr&gt;&lt;/m:fPr&gt;&lt;m:num&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2&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2&lt;/m:t&gt;&lt;/m:r&gt;&lt;/m:sub&gt;&lt;/m:sSub&gt;&lt;/m:num&gt;&lt;m:den&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iCs/>
                <w:color w:val="FF0000"/>
                <w:szCs w:val="20"/>
              </w:rPr>
              <w:instrText xml:space="preserve"> </w:instrText>
            </w:r>
            <w:r>
              <w:rPr>
                <w:iCs/>
                <w:color w:val="FF0000"/>
                <w:szCs w:val="20"/>
              </w:rPr>
              <w:fldChar w:fldCharType="separate"/>
            </w:r>
            <w:r>
              <w:rPr>
                <w:position w:val="-14"/>
              </w:rPr>
              <w:pict>
                <v:shape id="_x0000_i1026" o:spt="75" type="#_x0000_t75" style="height:18pt;width:42.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0856&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375E2&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77D37&quot;/&gt;&lt;wsp:rsid wsp:val=&quot;000809D1&quot;/&gt;&lt;wsp:rsid wsp:val=&quot;000845D8&quot;/&gt;&lt;wsp:rsid wsp:val=&quot;000846FA&quot;/&gt;&lt;wsp:rsid wsp:val=&quot;00084952&quot;/&gt;&lt;wsp:rsid wsp:val=&quot;00085529&quot;/&gt;&lt;wsp:rsid wsp:val=&quot;00086AAF&quot;/&gt;&lt;wsp:rsid wsp:val=&quot;0009101F&quot;/&gt;&lt;wsp:rsid wsp:val=&quot;00091ED0&quot;/&gt;&lt;wsp:rsid wsp:val=&quot;000939F4&quot;/&gt;&lt;wsp:rsid wsp:val=&quot;000A028B&quot;/&gt;&lt;wsp:rsid wsp:val=&quot;000A0641&quot;/&gt;&lt;wsp:rsid wsp:val=&quot;000A2398&quot;/&gt;&lt;wsp:rsid wsp:val=&quot;000A3BF0&quot;/&gt;&lt;wsp:rsid wsp:val=&quot;000A5C25&quot;/&gt;&lt;wsp:rsid wsp:val=&quot;000A784E&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65F&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0F21AF&quot;/&gt;&lt;wsp:rsid wsp:val=&quot;000F6023&quot;/&gt;&lt;wsp:rsid wsp:val=&quot;0010080A&quot;/&gt;&lt;wsp:rsid wsp:val=&quot;001018D5&quot;/&gt;&lt;wsp:rsid wsp:val=&quot;0010230E&quot;/&gt;&lt;wsp:rsid wsp:val=&quot;001041B1&quot;/&gt;&lt;wsp:rsid wsp:val=&quot;00105C24&quot;/&gt;&lt;wsp:rsid wsp:val=&quot;00111908&quot;/&gt;&lt;wsp:rsid wsp:val=&quot;00114160&quot;/&gt;&lt;wsp:rsid wsp:val=&quot;00114F16&quot;/&gt;&lt;wsp:rsid wsp:val=&quot;00116133&quot;/&gt;&lt;wsp:rsid wsp:val=&quot;00120884&quot;/&gt;&lt;wsp:rsid wsp:val=&quot;00123B1C&quot;/&gt;&lt;wsp:rsid wsp:val=&quot;00126559&quot;/&gt;&lt;wsp:rsid wsp:val=&quot;0012681F&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56493&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87E27&quot;/&gt;&lt;wsp:rsid wsp:val=&quot;00190AAD&quot;/&gt;&lt;wsp:rsid wsp:val=&quot;00191321&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48A1&quot;/&gt;&lt;wsp:rsid wsp:val=&quot;001C4E6E&quot;/&gt;&lt;wsp:rsid wsp:val=&quot;001C5621&quot;/&gt;&lt;wsp:rsid wsp:val=&quot;001C5A17&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E69E7&quot;/&gt;&lt;wsp:rsid wsp:val=&quot;001F05DC&quot;/&gt;&lt;wsp:rsid wsp:val=&quot;001F0B04&quot;/&gt;&lt;wsp:rsid wsp:val=&quot;001F20E5&quot;/&gt;&lt;wsp:rsid wsp:val=&quot;001F2C8F&quot;/&gt;&lt;wsp:rsid wsp:val=&quot;001F3669&quot;/&gt;&lt;wsp:rsid wsp:val=&quot;001F37C1&quot;/&gt;&lt;wsp:rsid wsp:val=&quot;001F4248&quot;/&gt;&lt;wsp:rsid wsp:val=&quot;002004AA&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27581&quot;/&gt;&lt;wsp:rsid wsp:val=&quot;002314EA&quot;/&gt;&lt;wsp:rsid wsp:val=&quot;00231769&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2A3&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87C7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2C22&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3CA2&quot;/&gt;&lt;wsp:rsid wsp:val=&quot;002F4411&quot;/&gt;&lt;wsp:rsid wsp:val=&quot;002F5259&quot;/&gt;&lt;wsp:rsid wsp:val=&quot;002F57D7&quot;/&gt;&lt;wsp:rsid wsp:val=&quot;002F7271&quot;/&gt;&lt;wsp:rsid wsp:val=&quot;00302398&quot;/&gt;&lt;wsp:rsid wsp:val=&quot;0030266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0394&quot;/&gt;&lt;wsp:rsid wsp:val=&quot;00334F8A&quot;/&gt;&lt;wsp:rsid wsp:val=&quot;00343017&quot;/&gt;&lt;wsp:rsid wsp:val=&quot;00343A55&quot;/&gt;&lt;wsp:rsid wsp:val=&quot;00345EEA&quot;/&gt;&lt;wsp:rsid wsp:val=&quot;003521DB&quot;/&gt;&lt;wsp:rsid wsp:val=&quot;003544C1&quot;/&gt;&lt;wsp:rsid wsp:val=&quot;0035556C&quot;/&gt;&lt;wsp:rsid wsp:val=&quot;00356A55&quot;/&gt;&lt;wsp:rsid wsp:val=&quot;00357973&quot;/&gt;&lt;wsp:rsid wsp:val=&quot;00360760&quot;/&gt;&lt;wsp:rsid wsp:val=&quot;0036084B&quot;/&gt;&lt;wsp:rsid wsp:val=&quot;003608B2&quot;/&gt;&lt;wsp:rsid wsp:val=&quot;00361201&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09A&quot;/&gt;&lt;wsp:rsid wsp:val=&quot;00387499&quot;/&gt;&lt;wsp:rsid wsp:val=&quot;00387797&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935&quot;/&gt;&lt;wsp:rsid wsp:val=&quot;00397A6D&quot;/&gt;&lt;wsp:rsid wsp:val=&quot;003A135F&quot;/&gt;&lt;wsp:rsid wsp:val=&quot;003A4607&quot;/&gt;&lt;wsp:rsid wsp:val=&quot;003A7732&quot;/&gt;&lt;wsp:rsid wsp:val=&quot;003B0BF8&quot;/&gt;&lt;wsp:rsid wsp:val=&quot;003B3DC0&quot;/&gt;&lt;wsp:rsid wsp:val=&quot;003B5C54&quot;/&gt;&lt;wsp:rsid wsp:val=&quot;003B6548&quot;/&gt;&lt;wsp:rsid wsp:val=&quot;003C2C18&quot;/&gt;&lt;wsp:rsid wsp:val=&quot;003C3033&quot;/&gt;&lt;wsp:rsid wsp:val=&quot;003C30D6&quot;/&gt;&lt;wsp:rsid wsp:val=&quot;003C4584&quot;/&gt;&lt;wsp:rsid wsp:val=&quot;003C4EAC&quot;/&gt;&lt;wsp:rsid wsp:val=&quot;003D0696&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0B68&quot;/&gt;&lt;wsp:rsid wsp:val=&quot;0040138C&quot;/&gt;&lt;wsp:rsid wsp:val=&quot;0040222B&quot;/&gt;&lt;wsp:rsid wsp:val=&quot;004022CC&quot;/&gt;&lt;wsp:rsid wsp:val=&quot;00402F34&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2522A&quot;/&gt;&lt;wsp:rsid wsp:val=&quot;00431123&quot;/&gt;&lt;wsp:rsid wsp:val=&quot;00431E83&quot;/&gt;&lt;wsp:rsid wsp:val=&quot;00432F62&quot;/&gt;&lt;wsp:rsid wsp:val=&quot;00433B5D&quot;/&gt;&lt;wsp:rsid wsp:val=&quot;004357BC&quot;/&gt;&lt;wsp:rsid wsp:val=&quot;0043707E&quot;/&gt;&lt;wsp:rsid wsp:val=&quot;00437B5E&quot;/&gt;&lt;wsp:rsid wsp:val=&quot;0044004B&quot;/&gt;&lt;wsp:rsid wsp:val=&quot;00444FB6&quot;/&gt;&lt;wsp:rsid wsp:val=&quot;004500C2&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23F&quot;/&gt;&lt;wsp:rsid wsp:val=&quot;00485840&quot;/&gt;&lt;wsp:rsid wsp:val=&quot;00485D52&quot;/&gt;&lt;wsp:rsid wsp:val=&quot;00487691&quot;/&gt;&lt;wsp:rsid wsp:val=&quot;0049013E&quot;/&gt;&lt;wsp:rsid wsp:val=&quot;004902E0&quot;/&gt;&lt;wsp:rsid wsp:val=&quot;00490947&quot;/&gt;&lt;wsp:rsid wsp:val=&quot;004910AC&quot;/&gt;&lt;wsp:rsid wsp:val=&quot;00491D0B&quot;/&gt;&lt;wsp:rsid wsp:val=&quot;004945F3&quot;/&gt;&lt;wsp:rsid wsp:val=&quot;004952EA&quot;/&gt;&lt;wsp:rsid wsp:val=&quot;00496124&quot;/&gt;&lt;wsp:rsid wsp:val=&quot;0049644B&quot;/&gt;&lt;wsp:rsid wsp:val=&quot;00496792&quot;/&gt;&lt;wsp:rsid wsp:val=&quot;0049720B&quot;/&gt;&lt;wsp:rsid wsp:val=&quot;00497975&quot;/&gt;&lt;wsp:rsid wsp:val=&quot;004A13AF&quot;/&gt;&lt;wsp:rsid wsp:val=&quot;004A1B0B&quot;/&gt;&lt;wsp:rsid wsp:val=&quot;004A2F9D&quot;/&gt;&lt;wsp:rsid wsp:val=&quot;004A33FF&quot;/&gt;&lt;wsp:rsid wsp:val=&quot;004A5042&quot;/&gt;&lt;wsp:rsid wsp:val=&quot;004A5270&quot;/&gt;&lt;wsp:rsid wsp:val=&quot;004B008B&quot;/&gt;&lt;wsp:rsid wsp:val=&quot;004B0873&quot;/&gt;&lt;wsp:rsid wsp:val=&quot;004B1BEE&quot;/&gt;&lt;wsp:rsid wsp:val=&quot;004B5D68&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C7FB4&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4F3C11&quot;/&gt;&lt;wsp:rsid wsp:val=&quot;004F6AB3&quot;/&gt;&lt;wsp:rsid wsp:val=&quot;00501F57&quot;/&gt;&lt;wsp:rsid wsp:val=&quot;00502853&quot;/&gt;&lt;wsp:rsid wsp:val=&quot;00506067&quot;/&gt;&lt;wsp:rsid wsp:val=&quot;00507EFC&quot;/&gt;&lt;wsp:rsid wsp:val=&quot;00510090&quot;/&gt;&lt;wsp:rsid wsp:val=&quot;005104F5&quot;/&gt;&lt;wsp:rsid wsp:val=&quot;00511D3D&quot;/&gt;&lt;wsp:rsid wsp:val=&quot;00514701&quot;/&gt;&lt;wsp:rsid wsp:val=&quot;00514C06&quot;/&gt;&lt;wsp:rsid wsp:val=&quot;00516A1C&quot;/&gt;&lt;wsp:rsid wsp:val=&quot;00516B1D&quot;/&gt;&lt;wsp:rsid wsp:val=&quot;00516E8C&quot;/&gt;&lt;wsp:rsid wsp:val=&quot;00521FA7&quot;/&gt;&lt;wsp:rsid wsp:val=&quot;005220E4&quot;/&gt;&lt;wsp:rsid wsp:val=&quot;00522A0C&quot;/&gt;&lt;wsp:rsid wsp:val=&quot;00530888&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073&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357&quot;/&gt;&lt;wsp:rsid wsp:val=&quot;0057342F&quot;/&gt;&lt;wsp:rsid wsp:val=&quot;005765F4&quot;/&gt;&lt;wsp:rsid wsp:val=&quot;0058449A&quot;/&gt;&lt;wsp:rsid wsp:val=&quot;00585499&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04C8&quot;/&gt;&lt;wsp:rsid wsp:val=&quot;005A22A8&quot;/&gt;&lt;wsp:rsid wsp:val=&quot;005A4D29&quot;/&gt;&lt;wsp:rsid wsp:val=&quot;005B0BB3&quot;/&gt;&lt;wsp:rsid wsp:val=&quot;005B18C2&quot;/&gt;&lt;wsp:rsid wsp:val=&quot;005B1D2C&quot;/&gt;&lt;wsp:rsid wsp:val=&quot;005B25BC&quot;/&gt;&lt;wsp:rsid wsp:val=&quot;005B2683&quot;/&gt;&lt;wsp:rsid wsp:val=&quot;005B27B8&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31E5&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078AC&quot;/&gt;&lt;wsp:rsid wsp:val=&quot;006103E1&quot;/&gt;&lt;wsp:rsid wsp:val=&quot;0061084A&quot;/&gt;&lt;wsp:rsid wsp:val=&quot;0061190F&quot;/&gt;&lt;wsp:rsid wsp:val=&quot;00612741&quot;/&gt;&lt;wsp:rsid wsp:val=&quot;00613ABD&quot;/&gt;&lt;wsp:rsid wsp:val=&quot;006147B1&quot;/&gt;&lt;wsp:rsid wsp:val=&quot;0061561D&quot;/&gt;&lt;wsp:rsid wsp:val=&quot;006164A4&quot;/&gt;&lt;wsp:rsid wsp:val=&quot;00620EFC&quot;/&gt;&lt;wsp:rsid wsp:val=&quot;00621BC3&quot;/&gt;&lt;wsp:rsid wsp:val=&quot;00622DB5&quot;/&gt;&lt;wsp:rsid wsp:val=&quot;00623D44&quot;/&gt;&lt;wsp:rsid wsp:val=&quot;0062423E&quot;/&gt;&lt;wsp:rsid wsp:val=&quot;0062486E&quot;/&gt;&lt;wsp:rsid wsp:val=&quot;00624905&quot;/&gt;&lt;wsp:rsid wsp:val=&quot;006309FF&quot;/&gt;&lt;wsp:rsid wsp:val=&quot;00632486&quot;/&gt;&lt;wsp:rsid wsp:val=&quot;00636884&quot;/&gt;&lt;wsp:rsid wsp:val=&quot;00636CCF&quot;/&gt;&lt;wsp:rsid wsp:val=&quot;00640051&quot;/&gt;&lt;wsp:rsid wsp:val=&quot;0064180A&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7EE&quot;/&gt;&lt;wsp:rsid wsp:val=&quot;00665890&quot;/&gt;&lt;wsp:rsid wsp:val=&quot;00666238&quot;/&gt;&lt;wsp:rsid wsp:val=&quot;0067233C&quot;/&gt;&lt;wsp:rsid wsp:val=&quot;00674C16&quot;/&gt;&lt;wsp:rsid wsp:val=&quot;0067658D&quot;/&gt;&lt;wsp:rsid wsp:val=&quot;00681049&quot;/&gt;&lt;wsp:rsid wsp:val=&quot;006814F1&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035C&quot;/&gt;&lt;wsp:rsid wsp:val=&quot;006A3605&quot;/&gt;&lt;wsp:rsid wsp:val=&quot;006A65B1&quot;/&gt;&lt;wsp:rsid wsp:val=&quot;006A7CA7&quot;/&gt;&lt;wsp:rsid wsp:val=&quot;006B162A&quot;/&gt;&lt;wsp:rsid wsp:val=&quot;006B2A42&quot;/&gt;&lt;wsp:rsid wsp:val=&quot;006B2BBC&quot;/&gt;&lt;wsp:rsid wsp:val=&quot;006B2FA0&quot;/&gt;&lt;wsp:rsid wsp:val=&quot;006B3BB5&quot;/&gt;&lt;wsp:rsid wsp:val=&quot;006B55E3&quot;/&gt;&lt;wsp:rsid wsp:val=&quot;006B57DD&quot;/&gt;&lt;wsp:rsid wsp:val=&quot;006C1ACC&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337F&quot;/&gt;&lt;wsp:rsid wsp:val=&quot;006F4666&quot;/&gt;&lt;wsp:rsid wsp:val=&quot;006F51CB&quot;/&gt;&lt;wsp:rsid wsp:val=&quot;006F7474&quot;/&gt;&lt;wsp:rsid wsp:val=&quot;007003FC&quot;/&gt;&lt;wsp:rsid wsp:val=&quot;00701112&quot;/&gt;&lt;wsp:rsid wsp:val=&quot;007011E2&quot;/&gt;&lt;wsp:rsid wsp:val=&quot;00702702&quot;/&gt;&lt;wsp:rsid wsp:val=&quot;00703F88&quot;/&gt;&lt;wsp:rsid wsp:val=&quot;007040C1&quot;/&gt;&lt;wsp:rsid wsp:val=&quot;00704829&quot;/&gt;&lt;wsp:rsid wsp:val=&quot;00704D56&quot;/&gt;&lt;wsp:rsid wsp:val=&quot;00704D87&quot;/&gt;&lt;wsp:rsid wsp:val=&quot;00705161&quot;/&gt;&lt;wsp:rsid wsp:val=&quot;00705D78&quot;/&gt;&lt;wsp:rsid wsp:val=&quot;00706A1F&quot;/&gt;&lt;wsp:rsid wsp:val=&quot;0071024C&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681C&quot;/&gt;&lt;wsp:rsid wsp:val=&quot;00737671&quot;/&gt;&lt;wsp:rsid wsp:val=&quot;00742585&quot;/&gt;&lt;wsp:rsid wsp:val=&quot;007436A7&quot;/&gt;&lt;wsp:rsid wsp:val=&quot;007436B8&quot;/&gt;&lt;wsp:rsid wsp:val=&quot;00750C4B&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87B31&quot;/&gt;&lt;wsp:rsid wsp:val=&quot;0079000A&quot;/&gt;&lt;wsp:rsid wsp:val=&quot;007908B1&quot;/&gt;&lt;wsp:rsid wsp:val=&quot;00792320&quot;/&gt;&lt;wsp:rsid wsp:val=&quot;007924C0&quot;/&gt;&lt;wsp:rsid wsp:val=&quot;00792DD6&quot;/&gt;&lt;wsp:rsid wsp:val=&quot;0079488E&quot;/&gt;&lt;wsp:rsid wsp:val=&quot;007948B6&quot;/&gt;&lt;wsp:rsid wsp:val=&quot;00797B03&quot;/&gt;&lt;wsp:rsid wsp:val=&quot;007A210A&quot;/&gt;&lt;wsp:rsid wsp:val=&quot;007A2419&quot;/&gt;&lt;wsp:rsid wsp:val=&quot;007A24A4&quot;/&gt;&lt;wsp:rsid wsp:val=&quot;007A28A6&quot;/&gt;&lt;wsp:rsid wsp:val=&quot;007A5238&quot;/&gt;&lt;wsp:rsid wsp:val=&quot;007A6225&quot;/&gt;&lt;wsp:rsid wsp:val=&quot;007B248D&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4836&quot;/&gt;&lt;wsp:rsid wsp:val=&quot;007C6301&quot;/&gt;&lt;wsp:rsid wsp:val=&quot;007D016A&quot;/&gt;&lt;wsp:rsid wsp:val=&quot;007D2EAC&quot;/&gt;&lt;wsp:rsid wsp:val=&quot;007D3B7A&quot;/&gt;&lt;wsp:rsid wsp:val=&quot;007D7A06&quot;/&gt;&lt;wsp:rsid wsp:val=&quot;007E04CF&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3BE&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4642&quot;/&gt;&lt;wsp:rsid wsp:val=&quot;00826C23&quot;/&gt;&lt;wsp:rsid wsp:val=&quot;00827387&quot;/&gt;&lt;wsp:rsid wsp:val=&quot;00827B33&quot;/&gt;&lt;wsp:rsid wsp:val=&quot;00832C0D&quot;/&gt;&lt;wsp:rsid wsp:val=&quot;00832EF8&quot;/&gt;&lt;wsp:rsid wsp:val=&quot;008376E5&quot;/&gt;&lt;wsp:rsid wsp:val=&quot;00840261&quot;/&gt;&lt;wsp:rsid wsp:val=&quot;0084220E&quot;/&gt;&lt;wsp:rsid wsp:val=&quot;0084364F&quot;/&gt;&lt;wsp:rsid wsp:val=&quot;00847B12&quot;/&gt;&lt;wsp:rsid wsp:val=&quot;00853E28&quot;/&gt;&lt;wsp:rsid wsp:val=&quot;008543CB&quot;/&gt;&lt;wsp:rsid wsp:val=&quot;00854556&quot;/&gt;&lt;wsp:rsid wsp:val=&quot;00855E7E&quot;/&gt;&lt;wsp:rsid wsp:val=&quot;008565CB&quot;/&gt;&lt;wsp:rsid wsp:val=&quot;0085677D&quot;/&gt;&lt;wsp:rsid wsp:val=&quot;0085793D&quot;/&gt;&lt;wsp:rsid wsp:val=&quot;0086013B&quot;/&gt;&lt;wsp:rsid wsp:val=&quot;00864E0E&quot;/&gt;&lt;wsp:rsid wsp:val=&quot;0087282C&quot;/&gt;&lt;wsp:rsid wsp:val=&quot;00873D1D&quot;/&gt;&lt;wsp:rsid wsp:val=&quot;008744A9&quot;/&gt;&lt;wsp:rsid wsp:val=&quot;00874888&quot;/&gt;&lt;wsp:rsid wsp:val=&quot;0087629E&quot;/&gt;&lt;wsp:rsid wsp:val=&quot;00876A87&quot;/&gt;&lt;wsp:rsid wsp:val=&quot;00876F3C&quot;/&gt;&lt;wsp:rsid wsp:val=&quot;00877EDD&quot;/&gt;&lt;wsp:rsid wsp:val=&quot;00882022&quot;/&gt;&lt;wsp:rsid wsp:val=&quot;00882417&quot;/&gt;&lt;wsp:rsid wsp:val=&quot;00882A88&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B55AB&quot;/&gt;&lt;wsp:rsid wsp:val=&quot;008B7BE4&quot;/&gt;&lt;wsp:rsid wsp:val=&quot;008C58BE&quot;/&gt;&lt;wsp:rsid wsp:val=&quot;008C655F&quot;/&gt;&lt;wsp:rsid wsp:val=&quot;008C6F30&quot;/&gt;&lt;wsp:rsid wsp:val=&quot;008C6FA6&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6F6C&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6FA&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4546&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9F714B&quot;/&gt;&lt;wsp:rsid wsp:val=&quot;00A0110D&quot;/&gt;&lt;wsp:rsid wsp:val=&quot;00A05B48&quot;/&gt;&lt;wsp:rsid wsp:val=&quot;00A05EC3&quot;/&gt;&lt;wsp:rsid wsp:val=&quot;00A0702F&quot;/&gt;&lt;wsp:rsid wsp:val=&quot;00A10234&quot;/&gt;&lt;wsp:rsid wsp:val=&quot;00A1200A&quot;/&gt;&lt;wsp:rsid wsp:val=&quot;00A120D8&quot;/&gt;&lt;wsp:rsid wsp:val=&quot;00A125D7&quot;/&gt;&lt;wsp:rsid wsp:val=&quot;00A15BD6&quot;/&gt;&lt;wsp:rsid wsp:val=&quot;00A16747&quot;/&gt;&lt;wsp:rsid wsp:val=&quot;00A16B00&quot;/&gt;&lt;wsp:rsid wsp:val=&quot;00A16B41&quot;/&gt;&lt;wsp:rsid wsp:val=&quot;00A202FC&quot;/&gt;&lt;wsp:rsid wsp:val=&quot;00A20762&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46AA&quot;/&gt;&lt;wsp:rsid wsp:val=&quot;00A5570E&quot;/&gt;&lt;wsp:rsid wsp:val=&quot;00A558B4&quot;/&gt;&lt;wsp:rsid wsp:val=&quot;00A55CF4&quot;/&gt;&lt;wsp:rsid wsp:val=&quot;00A5611B&quot;/&gt;&lt;wsp:rsid wsp:val=&quot;00A564F6&quot;/&gt;&lt;wsp:rsid wsp:val=&quot;00A610D5&quot;/&gt;&lt;wsp:rsid wsp:val=&quot;00A61935&quot;/&gt;&lt;wsp:rsid wsp:val=&quot;00A61E46&quot;/&gt;&lt;wsp:rsid wsp:val=&quot;00A6580A&quot;/&gt;&lt;wsp:rsid wsp:val=&quot;00A65D5E&quot;/&gt;&lt;wsp:rsid wsp:val=&quot;00A71D04&quot;/&gt;&lt;wsp:rsid wsp:val=&quot;00A73CAA&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9589A&quot;/&gt;&lt;wsp:rsid wsp:val=&quot;00AA1F42&quot;/&gt;&lt;wsp:rsid wsp:val=&quot;00AA341E&quot;/&gt;&lt;wsp:rsid wsp:val=&quot;00AA5677&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6658&quot;/&gt;&lt;wsp:rsid wsp:val=&quot;00AD7C0A&quot;/&gt;&lt;wsp:rsid wsp:val=&quot;00AE22B1&quot;/&gt;&lt;wsp:rsid wsp:val=&quot;00AE4352&quot;/&gt;&lt;wsp:rsid wsp:val=&quot;00AE554F&quot;/&gt;&lt;wsp:rsid wsp:val=&quot;00AF2F6E&quot;/&gt;&lt;wsp:rsid wsp:val=&quot;00AF63C2&quot;/&gt;&lt;wsp:rsid wsp:val=&quot;00AF676F&quot;/&gt;&lt;wsp:rsid wsp:val=&quot;00AF6EBE&quot;/&gt;&lt;wsp:rsid wsp:val=&quot;00AF6FD5&quot;/&gt;&lt;wsp:rsid wsp:val=&quot;00B0425D&quot;/&gt;&lt;wsp:rsid wsp:val=&quot;00B057B7&quot;/&gt;&lt;wsp:rsid wsp:val=&quot;00B0740B&quot;/&gt;&lt;wsp:rsid wsp:val=&quot;00B11A40&quot;/&gt;&lt;wsp:rsid wsp:val=&quot;00B13627&quot;/&gt;&lt;wsp:rsid wsp:val=&quot;00B17047&quot;/&gt;&lt;wsp:rsid wsp:val=&quot;00B20627&quot;/&gt;&lt;wsp:rsid wsp:val=&quot;00B229E1&quot;/&gt;&lt;wsp:rsid wsp:val=&quot;00B23921&quot;/&gt;&lt;wsp:rsid wsp:val=&quot;00B26221&quot;/&gt;&lt;wsp:rsid wsp:val=&quot;00B323DD&quot;/&gt;&lt;wsp:rsid wsp:val=&quot;00B34798&quot;/&gt;&lt;wsp:rsid wsp:val=&quot;00B34F32&quot;/&gt;&lt;wsp:rsid wsp:val=&quot;00B3574E&quot;/&gt;&lt;wsp:rsid wsp:val=&quot;00B36328&quot;/&gt;&lt;wsp:rsid wsp:val=&quot;00B37535&quot;/&gt;&lt;wsp:rsid wsp:val=&quot;00B40351&quot;/&gt;&lt;wsp:rsid wsp:val=&quot;00B40D93&quot;/&gt;&lt;wsp:rsid wsp:val=&quot;00B41045&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5BD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3045&quot;/&gt;&lt;wsp:rsid wsp:val=&quot;00B75DE1&quot;/&gt;&lt;wsp:rsid wsp:val=&quot;00B77842&quot;/&gt;&lt;wsp:rsid wsp:val=&quot;00B80F17&quot;/&gt;&lt;wsp:rsid wsp:val=&quot;00B81E7F&quot;/&gt;&lt;wsp:rsid wsp:val=&quot;00B8279D&quot;/&gt;&lt;wsp:rsid wsp:val=&quot;00B82E06&quot;/&gt;&lt;wsp:rsid wsp:val=&quot;00B906C7&quot;/&gt;&lt;wsp:rsid wsp:val=&quot;00B91965&quot;/&gt;&lt;wsp:rsid wsp:val=&quot;00B94A19&quot;/&gt;&lt;wsp:rsid wsp:val=&quot;00B968CB&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53BD&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23D6&quot;/&gt;&lt;wsp:rsid wsp:val=&quot;00BE4A93&quot;/&gt;&lt;wsp:rsid wsp:val=&quot;00BF1087&quot;/&gt;&lt;wsp:rsid wsp:val=&quot;00BF1F78&quot;/&gt;&lt;wsp:rsid wsp:val=&quot;00BF2FE0&quot;/&gt;&lt;wsp:rsid wsp:val=&quot;00BF4E0E&quot;/&gt;&lt;wsp:rsid wsp:val=&quot;00BF539D&quot;/&gt;&lt;wsp:rsid wsp:val=&quot;00BF5BD7&quot;/&gt;&lt;wsp:rsid wsp:val=&quot;00BF6CE0&quot;/&gt;&lt;wsp:rsid wsp:val=&quot;00BF7C28&quot;/&gt;&lt;wsp:rsid wsp:val=&quot;00C001BC&quot;/&gt;&lt;wsp:rsid wsp:val=&quot;00C02D38&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2836&quot;/&gt;&lt;wsp:rsid wsp:val=&quot;00C44527&quot;/&gt;&lt;wsp:rsid wsp:val=&quot;00C447E1&quot;/&gt;&lt;wsp:rsid wsp:val=&quot;00C44A5D&quot;/&gt;&lt;wsp:rsid wsp:val=&quot;00C51194&quot;/&gt;&lt;wsp:rsid wsp:val=&quot;00C51723&quot;/&gt;&lt;wsp:rsid wsp:val=&quot;00C52C3D&quot;/&gt;&lt;wsp:rsid wsp:val=&quot;00C54454&quot;/&gt;&lt;wsp:rsid wsp:val=&quot;00C569CC&quot;/&gt;&lt;wsp:rsid wsp:val=&quot;00C57ECB&quot;/&gt;&lt;wsp:rsid wsp:val=&quot;00C63900&quot;/&gt;&lt;wsp:rsid wsp:val=&quot;00C6529A&quot;/&gt;&lt;wsp:rsid wsp:val=&quot;00C7034A&quot;/&gt;&lt;wsp:rsid wsp:val=&quot;00C707D9&quot;/&gt;&lt;wsp:rsid wsp:val=&quot;00C70CA4&quot;/&gt;&lt;wsp:rsid wsp:val=&quot;00C72E52&quot;/&gt;&lt;wsp:rsid wsp:val=&quot;00C73A93&quot;/&gt;&lt;wsp:rsid wsp:val=&quot;00C758A0&quot;/&gt;&lt;wsp:rsid wsp:val=&quot;00C765A2&quot;/&gt;&lt;wsp:rsid wsp:val=&quot;00C76EFC&quot;/&gt;&lt;wsp:rsid wsp:val=&quot;00C77E7B&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0EDB&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3E92&quot;/&gt;&lt;wsp:rsid wsp:val=&quot;00CD532D&quot;/&gt;&lt;wsp:rsid wsp:val=&quot;00CD5466&quot;/&gt;&lt;wsp:rsid wsp:val=&quot;00CD660F&quot;/&gt;&lt;wsp:rsid wsp:val=&quot;00CD680E&quot;/&gt;&lt;wsp:rsid wsp:val=&quot;00CD7A9D&quot;/&gt;&lt;wsp:rsid wsp:val=&quot;00CD7EA8&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2709&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36B91&quot;/&gt;&lt;wsp:rsid wsp:val=&quot;00D43CBF&quot;/&gt;&lt;wsp:rsid wsp:val=&quot;00D46438&quot;/&gt;&lt;wsp:rsid wsp:val=&quot;00D506D0&quot;/&gt;&lt;wsp:rsid wsp:val=&quot;00D5616D&quot;/&gt;&lt;wsp:rsid wsp:val=&quot;00D56D42&quot;/&gt;&lt;wsp:rsid wsp:val=&quot;00D5711F&quot;/&gt;&lt;wsp:rsid wsp:val=&quot;00D616F1&quot;/&gt;&lt;wsp:rsid wsp:val=&quot;00D63474&quot;/&gt;&lt;wsp:rsid wsp:val=&quot;00D64B68&quot;/&gt;&lt;wsp:rsid wsp:val=&quot;00D66373&quot;/&gt;&lt;wsp:rsid wsp:val=&quot;00D6781B&quot;/&gt;&lt;wsp:rsid wsp:val=&quot;00D72213&quot;/&gt;&lt;wsp:rsid wsp:val=&quot;00D73678&quot;/&gt;&lt;wsp:rsid wsp:val=&quot;00D75D5D&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E60CE&quot;/&gt;&lt;wsp:rsid wsp:val=&quot;00DF0111&quot;/&gt;&lt;wsp:rsid wsp:val=&quot;00DF18DA&quot;/&gt;&lt;wsp:rsid wsp:val=&quot;00DF5416&quot;/&gt;&lt;wsp:rsid wsp:val=&quot;00DF730D&quot;/&gt;&lt;wsp:rsid wsp:val=&quot;00E00587&quot;/&gt;&lt;wsp:rsid wsp:val=&quot;00E00BB2&quot;/&gt;&lt;wsp:rsid wsp:val=&quot;00E02359&quot;/&gt;&lt;wsp:rsid wsp:val=&quot;00E03022&quot;/&gt;&lt;wsp:rsid wsp:val=&quot;00E0366C&quot;/&gt;&lt;wsp:rsid wsp:val=&quot;00E0574F&quot;/&gt;&lt;wsp:rsid wsp:val=&quot;00E05B1A&quot;/&gt;&lt;wsp:rsid wsp:val=&quot;00E11E5B&quot;/&gt;&lt;wsp:rsid wsp:val=&quot;00E11EE2&quot;/&gt;&lt;wsp:rsid wsp:val=&quot;00E177DB&quot;/&gt;&lt;wsp:rsid wsp:val=&quot;00E20892&quot;/&gt;&lt;wsp:rsid wsp:val=&quot;00E22783&quot;/&gt;&lt;wsp:rsid wsp:val=&quot;00E25A74&quot;/&gt;&lt;wsp:rsid wsp:val=&quot;00E2627F&quot;/&gt;&lt;wsp:rsid wsp:val=&quot;00E32BEE&quot;/&gt;&lt;wsp:rsid wsp:val=&quot;00E33483&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3C67&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6E10&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38AF&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6817&quot;/&gt;&lt;wsp:rsid wsp:val=&quot;00EC73DA&quot;/&gt;&lt;wsp:rsid wsp:val=&quot;00EC7B40&quot;/&gt;&lt;wsp:rsid wsp:val=&quot;00ED034C&quot;/&gt;&lt;wsp:rsid wsp:val=&quot;00ED04C4&quot;/&gt;&lt;wsp:rsid wsp:val=&quot;00ED2E01&quot;/&gt;&lt;wsp:rsid wsp:val=&quot;00ED389F&quot;/&gt;&lt;wsp:rsid wsp:val=&quot;00ED4EF0&quot;/&gt;&lt;wsp:rsid wsp:val=&quot;00ED55AE&quot;/&gt;&lt;wsp:rsid wsp:val=&quot;00ED6F25&quot;/&gt;&lt;wsp:rsid wsp:val=&quot;00EE1DB6&quot;/&gt;&lt;wsp:rsid wsp:val=&quot;00EE588F&quot;/&gt;&lt;wsp:rsid wsp:val=&quot;00EE7873&quot;/&gt;&lt;wsp:rsid wsp:val=&quot;00EF0679&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4ADF&quot;/&gt;&lt;wsp:rsid wsp:val=&quot;00F1518F&quot;/&gt;&lt;wsp:rsid wsp:val=&quot;00F16273&quot;/&gt;&lt;wsp:rsid wsp:val=&quot;00F20665&quot;/&gt;&lt;wsp:rsid wsp:val=&quot;00F230BA&quot;/&gt;&lt;wsp:rsid wsp:val=&quot;00F23620&quot;/&gt;&lt;wsp:rsid wsp:val=&quot;00F247EC&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466F8&quot;/&gt;&lt;wsp:rsid wsp:val=&quot;00F5134E&quot;/&gt;&lt;wsp:rsid wsp:val=&quot;00F52B54&quot;/&gt;&lt;wsp:rsid wsp:val=&quot;00F61405&quot;/&gt;&lt;wsp:rsid wsp:val=&quot;00F61573&quot;/&gt;&lt;wsp:rsid wsp:val=&quot;00F630D0&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09CA&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612741&quot; wsp:rsidRDefault=&quot;00612741&quot; wsp:rsidP=&quot;00612741&quot;&gt;&lt;m:oMathPara&gt;&lt;m:oMath&gt;&lt;m:r&gt;&lt;w:rPr&gt;&lt;w:rFonts w:ascii=&quot;Cambria Math&quot; w:fareast=&quot;Cambria Math&quot; w:h-ansi=&quot;Cambria Math&quot;/&gt;&lt;wx:font wx:val=&quot;Cambria Math&quot;/&gt;&lt;w:i/&gt;&lt;w:color w:val=&quot;FF0000&quot;/&gt;&lt;w:sz-cs w:val=&quot;20&quot;/&gt;&lt;/w:rPr&gt;&lt;m:t&gt; &lt;/m:t&gt;&lt;/m:r&gt;&lt;m:f&gt;&lt;m:fPr&gt;&lt;m:ctrlPr&gt;&lt;w:rPr&gt;&lt;w:rFonts w:ascii=&quot;Cambria Math&quot; w:fareast=&quot;Cambria Math&quot; w:h-ansi=&quot;Cambria Math&quot;/&gt;&lt;wx:font wx:val=&quot;Cambria Math&quot;/&gt;&lt;w:i/&gt;&lt;w:i-cs/&gt;&lt;w:color w:val=&quot;FF0000&quot;/&gt;&lt;w:sz-cs w:val=&quot;20&quot;/&gt;&lt;/w:rPr&gt;&lt;/m:ctrlPr&gt;&lt;/m:fPr&gt;&lt;m:num&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N&lt;/m:t&gt;&lt;/m:r&gt;&lt;/m:e&gt;&lt;m:sub&gt;&lt;m:r&gt;&lt;w:rPr&gt;&lt;w:rFonts w:ascii=&quot;Cambria Math&quot; w:fareast=&quot;Cambria Math&quot; w:h-ansi=&quot;Cambria Math&quot;/&gt;&lt;wx:font wx:val=&quot;Cambria Math&quot;/&gt;&lt;w:i/&gt;&lt;w:color w:val=&quot;FF0000&quot;/&gt;&lt;w:sz-cs w:val=&quot;20&quot;/&gt;&lt;/w:rPr&gt;&lt;m:t&gt;2&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O&lt;/m:t&gt;&lt;/m:r&gt;&lt;/m:e&gt;&lt;m:sub&gt;&lt;m:r&gt;&lt;w:rPr&gt;&lt;w:rFonts w:ascii=&quot;Cambria Math&quot; w:fareast=&quot;Cambria Math&quot; w:h-ansi=&quot;Cambria Math&quot;/&gt;&lt;wx:font wx:val=&quot;Cambria Math&quot;/&gt;&lt;w:i/&gt;&lt;w:color w:val=&quot;FF0000&quot;/&gt;&lt;w:sz-cs w:val=&quot;20&quot;/&gt;&lt;/w:rPr&gt;&lt;m:t&gt;2&lt;/m:t&gt;&lt;/m:r&gt;&lt;/m:sub&gt;&lt;/m:sSub&gt;&lt;/m:num&gt;&lt;m:den&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1&lt;/m:t&gt;&lt;/m:r&gt;&lt;/m:sub&gt;&lt;/m:sSub&gt;&lt;m:r&gt;&lt;w:rPr&gt;&lt;w:rFonts w:ascii=&quot;Cambria Math&quot; w:fareast=&quot;Cambria Math&quot; w:h-ansi=&quot;Cambria Math&quot;/&gt;&lt;wx:font wx:val=&quot;Cambria Math&quot;/&gt;&lt;w:i/&gt;&lt;w:color w:val=&quot;FF0000&quot;/&gt;&lt;w:sz-cs w:val=&quot;20&quot;/&gt;&lt;/w:rPr&gt;&lt;m:t&gt;⋅&lt;/m:t&gt;&lt;/m:r&gt;&lt;m:sSub&gt;&lt;m:sSubPr&gt;&lt;m:ctrlPr&gt;&lt;w:rPr&gt;&lt;w:rFonts w:ascii=&quot;Cambria Math&quot; w:fareast=&quot;Cambria Math&quot; w:h-ansi=&quot;Cambria Math&quot;/&gt;&lt;wx:font wx:val=&quot;Cambria Math&quot;/&gt;&lt;w:i/&gt;&lt;w:i-cs/&gt;&lt;w:color w:val=&quot;FF0000&quot;/&gt;&lt;w:sz-cs w:val=&quot;20&quot;/&gt;&lt;/w:rPr&gt;&lt;/m:ctrlPr&gt;&lt;/m:sSubPr&gt;&lt;m:e&gt;&lt;m:r&gt;&lt;w:rPr&gt;&lt;w:rFonts w:ascii=&quot;Cambria Math&quot; w:fareast=&quot;Cambria Math&quot; w:h-ansi=&quot;Cambria Math&quot;/&gt;&lt;wx:font wx:val=&quot;Cambria Math&quot;/&gt;&lt;w:i/&gt;&lt;w:color w:val=&quot;FF0000&quot;/&gt;&lt;w:sz-cs w:val=&quot;20&quot;/&gt;&lt;/w:rPr&gt;&lt;m:t&gt;X&lt;/m:t&gt;&lt;/m:r&gt;&lt;/m:e&gt;&lt;m:sub&gt;&lt;m:r&gt;&lt;w:rPr&gt;&lt;w:rFonts w:ascii=&quot;Cambria Math&quot; w:fareast=&quot;Cambria Math&quot; w:h-ansi=&quot;Cambria Math&quot;/&gt;&lt;wx:font wx:val=&quot;Cambria Math&quot;/&gt;&lt;w:i/&gt;&lt;w:color w:val=&quot;FF0000&quot;/&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5" chromakey="#FFFFFF" o:title=""/>
                  <o:lock v:ext="edit" aspectratio="t"/>
                  <w10:wrap type="none"/>
                  <w10:anchorlock/>
                </v:shape>
              </w:pict>
            </w:r>
            <w:r>
              <w:rPr>
                <w:iCs/>
                <w:color w:val="FF0000"/>
                <w:szCs w:val="20"/>
              </w:rPr>
              <w:fldChar w:fldCharType="end"/>
            </w:r>
            <w:r>
              <w:rPr>
                <w:iCs/>
                <w:color w:val="auto"/>
                <w:szCs w:val="20"/>
              </w:rPr>
              <w:t>-bit CBSR w</w:t>
            </w:r>
            <w:r>
              <w:rPr>
                <w:iCs/>
                <w:szCs w:val="20"/>
              </w:rPr>
              <w:t>here each bit in the CBSR is associated with a set of X</w:t>
            </w:r>
            <w:r>
              <w:rPr>
                <w:iCs/>
                <w:szCs w:val="20"/>
                <w:vertAlign w:val="subscript"/>
              </w:rPr>
              <w:t>1</w:t>
            </w:r>
            <w:r>
              <w:rPr>
                <w:iCs/>
                <w:szCs w:val="20"/>
              </w:rPr>
              <w:t>X</w:t>
            </w:r>
            <w:r>
              <w:rPr>
                <w:iCs/>
                <w:szCs w:val="20"/>
                <w:vertAlign w:val="subscript"/>
              </w:rPr>
              <w:t>2</w:t>
            </w:r>
            <w:r>
              <w:rPr>
                <w:iCs/>
                <w:szCs w:val="20"/>
              </w:rPr>
              <w:t xml:space="preserve"> SD basis vectors, where the set includes X</w:t>
            </w:r>
            <w:r>
              <w:rPr>
                <w:iCs/>
                <w:szCs w:val="20"/>
                <w:vertAlign w:val="subscript"/>
              </w:rPr>
              <w:t>1</w:t>
            </w:r>
            <w:r>
              <w:rPr>
                <w:iCs/>
                <w:szCs w:val="20"/>
              </w:rPr>
              <w:t xml:space="preserve"> adjacent SD basis vectors along the N</w:t>
            </w:r>
            <w:r>
              <w:rPr>
                <w:iCs/>
                <w:szCs w:val="20"/>
                <w:vertAlign w:val="subscript"/>
              </w:rPr>
              <w:t>1</w:t>
            </w:r>
            <w:r>
              <w:rPr>
                <w:iCs/>
                <w:szCs w:val="20"/>
              </w:rPr>
              <w:t xml:space="preserve"> direction and/or X</w:t>
            </w:r>
            <w:r>
              <w:rPr>
                <w:iCs/>
                <w:szCs w:val="20"/>
                <w:vertAlign w:val="subscript"/>
              </w:rPr>
              <w:t>2</w:t>
            </w:r>
            <w:r>
              <w:rPr>
                <w:iCs/>
                <w:szCs w:val="20"/>
              </w:rPr>
              <w:t xml:space="preserve"> adjacent SD bases along the N</w:t>
            </w:r>
            <w:r>
              <w:rPr>
                <w:iCs/>
                <w:szCs w:val="20"/>
                <w:vertAlign w:val="subscript"/>
              </w:rPr>
              <w:t>2</w:t>
            </w:r>
            <w:r>
              <w:rPr>
                <w:iCs/>
                <w:szCs w:val="20"/>
              </w:rPr>
              <w:t xml:space="preserve"> direction</w:t>
            </w:r>
          </w:p>
          <w:p>
            <w:pPr>
              <w:widowControl w:val="0"/>
              <w:numPr>
                <w:ilvl w:val="1"/>
                <w:numId w:val="5"/>
              </w:numPr>
              <w:snapToGrid w:val="0"/>
              <w:rPr>
                <w:iCs/>
                <w:szCs w:val="20"/>
              </w:rPr>
            </w:pPr>
            <w:r>
              <w:rPr>
                <w:iCs/>
                <w:szCs w:val="20"/>
              </w:rPr>
              <w:t>FFS: Value(s) of X</w:t>
            </w:r>
            <w:r>
              <w:rPr>
                <w:iCs/>
                <w:szCs w:val="20"/>
                <w:vertAlign w:val="subscript"/>
              </w:rPr>
              <w:t>1</w:t>
            </w:r>
            <w:r>
              <w:rPr>
                <w:iCs/>
                <w:szCs w:val="20"/>
              </w:rPr>
              <w:t xml:space="preserve"> and X</w:t>
            </w:r>
            <w:r>
              <w:rPr>
                <w:iCs/>
                <w:szCs w:val="20"/>
                <w:vertAlign w:val="subscript"/>
              </w:rPr>
              <w:t>2</w:t>
            </w:r>
            <w:r>
              <w:rPr>
                <w:iCs/>
                <w:szCs w:val="20"/>
              </w:rPr>
              <w:t xml:space="preserve"> and detailed design/spec impact </w:t>
            </w:r>
          </w:p>
          <w:p>
            <w:pPr>
              <w:widowControl w:val="0"/>
              <w:snapToGrid w:val="0"/>
              <w:rPr>
                <w:iCs/>
                <w:szCs w:val="20"/>
              </w:rPr>
            </w:pPr>
            <w:r>
              <w:rPr>
                <w:iCs/>
                <w:szCs w:val="20"/>
              </w:rPr>
              <w:t>FFS: Whether/how to enable shared CBSR in RRC configuration for Type-I/II codebooks with a same (N</w:t>
            </w:r>
            <w:r>
              <w:rPr>
                <w:iCs/>
                <w:szCs w:val="20"/>
                <w:vertAlign w:val="subscript"/>
              </w:rPr>
              <w:t>1</w:t>
            </w:r>
            <w:r>
              <w:rPr>
                <w:iCs/>
                <w:szCs w:val="20"/>
              </w:rPr>
              <w:t>,N</w:t>
            </w:r>
            <w:r>
              <w:rPr>
                <w:iCs/>
                <w:szCs w:val="20"/>
                <w:vertAlign w:val="subscript"/>
              </w:rPr>
              <w:t>2</w:t>
            </w:r>
            <w:r>
              <w:rPr>
                <w:iCs/>
                <w:szCs w:val="20"/>
              </w:rPr>
              <w:t>).</w:t>
            </w:r>
          </w:p>
          <w:p>
            <w:pPr>
              <w:widowControl w:val="0"/>
              <w:rPr>
                <w:b/>
                <w:bCs/>
                <w:highlight w:val="green"/>
              </w:rPr>
            </w:pPr>
          </w:p>
          <w:p>
            <w:pPr>
              <w:widowControl w:val="0"/>
              <w:rPr>
                <w:b/>
                <w:bCs/>
                <w:highlight w:val="green"/>
              </w:rPr>
            </w:pPr>
            <w:r>
              <w:rPr>
                <w:b/>
                <w:bCs/>
                <w:highlight w:val="green"/>
              </w:rPr>
              <w:t>Agreement</w:t>
            </w:r>
          </w:p>
          <w:p>
            <w:pPr>
              <w:widowControl w:val="0"/>
              <w:snapToGrid w:val="0"/>
              <w:rPr>
                <w:iCs/>
                <w:szCs w:val="20"/>
              </w:rPr>
            </w:pPr>
            <w:r>
              <w:rPr>
                <w:iCs/>
                <w:szCs w:val="20"/>
              </w:rPr>
              <w:t xml:space="preserve">For the Rel-19 Type-II codebook refinement for </w:t>
            </w:r>
            <w:r>
              <w:rPr>
                <w:rFonts w:eastAsia="宋体"/>
                <w:iCs/>
                <w:szCs w:val="20"/>
              </w:rPr>
              <w:t>48, 64, and</w:t>
            </w:r>
            <w:r>
              <w:rPr>
                <w:iCs/>
                <w:szCs w:val="20"/>
              </w:rPr>
              <w:t xml:space="preserve"> 128 CSI-RS ports, on CBSR, refine the legacy CBSR as follows:</w:t>
            </w:r>
          </w:p>
          <w:p>
            <w:pPr>
              <w:pStyle w:val="43"/>
              <w:widowControl w:val="0"/>
              <w:numPr>
                <w:ilvl w:val="0"/>
                <w:numId w:val="5"/>
              </w:numPr>
              <w:snapToGrid w:val="0"/>
              <w:ind w:leftChars="0"/>
              <w:rPr>
                <w:iCs/>
                <w:szCs w:val="20"/>
              </w:rPr>
            </w:pPr>
            <w:r>
              <w:rPr>
                <w:iCs/>
                <w:szCs w:val="20"/>
              </w:rPr>
              <w:t>Only 1-bit hard restriction is supported (analogous to Rel-18 Type-II)</w:t>
            </w:r>
          </w:p>
          <w:p>
            <w:pPr>
              <w:pStyle w:val="43"/>
              <w:widowControl w:val="0"/>
              <w:numPr>
                <w:ilvl w:val="0"/>
                <w:numId w:val="5"/>
              </w:numPr>
              <w:snapToGrid w:val="0"/>
              <w:ind w:leftChars="0"/>
              <w:rPr>
                <w:iCs/>
                <w:szCs w:val="20"/>
                <w:highlight w:val="none"/>
              </w:rPr>
            </w:pPr>
            <w:r>
              <w:rPr>
                <w:iCs/>
                <w:szCs w:val="20"/>
              </w:rPr>
              <w:t>Moving (N</w:t>
            </w:r>
            <w:r>
              <w:rPr>
                <w:iCs/>
                <w:szCs w:val="20"/>
                <w:vertAlign w:val="subscript"/>
              </w:rPr>
              <w:t>1</w:t>
            </w:r>
            <w:r>
              <w:rPr>
                <w:iCs/>
                <w:szCs w:val="20"/>
              </w:rPr>
              <w:t>, N</w:t>
            </w:r>
            <w:r>
              <w:rPr>
                <w:iCs/>
                <w:szCs w:val="20"/>
                <w:vertAlign w:val="subscript"/>
              </w:rPr>
              <w:t>2</w:t>
            </w:r>
            <w:r>
              <w:rPr>
                <w:iCs/>
                <w:szCs w:val="20"/>
              </w:rPr>
              <w:t xml:space="preserve">) configuration out from CBSR IE and the CBSR can be optional </w:t>
            </w:r>
            <w:r>
              <w:rPr>
                <w:iCs/>
                <w:szCs w:val="20"/>
                <w:highlight w:val="none"/>
              </w:rPr>
              <w:t>configured</w:t>
            </w:r>
          </w:p>
          <w:p>
            <w:pPr>
              <w:pStyle w:val="43"/>
              <w:widowControl w:val="0"/>
              <w:numPr>
                <w:ilvl w:val="1"/>
                <w:numId w:val="5"/>
              </w:numPr>
              <w:snapToGrid w:val="0"/>
              <w:ind w:leftChars="0"/>
              <w:rPr>
                <w:iCs/>
                <w:szCs w:val="20"/>
                <w:highlight w:val="none"/>
              </w:rPr>
            </w:pPr>
            <w:r>
              <w:rPr>
                <w:iCs/>
                <w:szCs w:val="20"/>
                <w:highlight w:val="none"/>
              </w:rPr>
              <w:t xml:space="preserve">Send LS to RAN2, and subject to RAN2 consent. </w:t>
            </w:r>
            <w:r>
              <w:rPr>
                <w:iCs/>
                <w:highlight w:val="none"/>
              </w:rPr>
              <w:t>Final LS in R1-2403650.</w:t>
            </w:r>
          </w:p>
          <w:p>
            <w:pPr>
              <w:pStyle w:val="43"/>
              <w:widowControl w:val="0"/>
              <w:numPr>
                <w:ilvl w:val="0"/>
                <w:numId w:val="5"/>
              </w:numPr>
              <w:snapToGrid w:val="0"/>
              <w:ind w:leftChars="0"/>
              <w:rPr>
                <w:iCs/>
                <w:szCs w:val="20"/>
              </w:rPr>
            </w:pPr>
            <w:r>
              <w:rPr>
                <w:iCs/>
                <w:szCs w:val="20"/>
              </w:rPr>
              <w:t xml:space="preserve">Group-based CBSR </w:t>
            </w:r>
            <w:bookmarkStart w:id="5" w:name="OLE_LINK9"/>
            <w:r>
              <w:rPr>
                <w:iCs/>
                <w:szCs w:val="20"/>
              </w:rPr>
              <w:t xml:space="preserve">granularity </w:t>
            </w:r>
            <w:bookmarkEnd w:id="5"/>
            <w:r>
              <w:rPr>
                <w:iCs/>
                <w:szCs w:val="20"/>
              </w:rPr>
              <w:t xml:space="preserve">where </w:t>
            </w:r>
            <w:r>
              <w:rPr>
                <w:iCs/>
                <w:lang w:eastAsia="zh-CN"/>
              </w:rPr>
              <w:t>each bit in the CBSR is associated with a set of X</w:t>
            </w:r>
            <w:r>
              <w:rPr>
                <w:iCs/>
                <w:vertAlign w:val="subscript"/>
                <w:lang w:eastAsia="zh-CN"/>
              </w:rPr>
              <w:t>1</w:t>
            </w:r>
            <w:r>
              <w:rPr>
                <w:iCs/>
                <w:lang w:eastAsia="zh-CN"/>
              </w:rPr>
              <w:t>X</w:t>
            </w:r>
            <w:r>
              <w:rPr>
                <w:iCs/>
                <w:vertAlign w:val="subscript"/>
                <w:lang w:eastAsia="zh-CN"/>
              </w:rPr>
              <w:t>2</w:t>
            </w:r>
            <w:r>
              <w:rPr>
                <w:iCs/>
                <w:lang w:eastAsia="zh-CN"/>
              </w:rPr>
              <w:t xml:space="preserve"> SD basis vectors, where the set includes X</w:t>
            </w:r>
            <w:r>
              <w:rPr>
                <w:iCs/>
                <w:vertAlign w:val="subscript"/>
                <w:lang w:eastAsia="zh-CN"/>
              </w:rPr>
              <w:t>1</w:t>
            </w:r>
            <w:r>
              <w:rPr>
                <w:iCs/>
                <w:lang w:eastAsia="zh-CN"/>
              </w:rPr>
              <w:t xml:space="preserve"> adjacent SD basis vectors along the N</w:t>
            </w:r>
            <w:r>
              <w:rPr>
                <w:iCs/>
                <w:vertAlign w:val="subscript"/>
                <w:lang w:eastAsia="zh-CN"/>
              </w:rPr>
              <w:t>1</w:t>
            </w:r>
            <w:r>
              <w:rPr>
                <w:iCs/>
                <w:lang w:eastAsia="zh-CN"/>
              </w:rPr>
              <w:t xml:space="preserve"> direction and/or X</w:t>
            </w:r>
            <w:r>
              <w:rPr>
                <w:iCs/>
                <w:vertAlign w:val="subscript"/>
                <w:lang w:eastAsia="zh-CN"/>
              </w:rPr>
              <w:t>2</w:t>
            </w:r>
            <w:r>
              <w:rPr>
                <w:iCs/>
                <w:lang w:eastAsia="zh-CN"/>
              </w:rPr>
              <w:t xml:space="preserve"> adjacent SD bases along the N</w:t>
            </w:r>
            <w:r>
              <w:rPr>
                <w:iCs/>
                <w:vertAlign w:val="subscript"/>
                <w:lang w:eastAsia="zh-CN"/>
              </w:rPr>
              <w:t>2</w:t>
            </w:r>
            <w:r>
              <w:rPr>
                <w:iCs/>
                <w:lang w:eastAsia="zh-CN"/>
              </w:rPr>
              <w:t xml:space="preserve"> direction</w:t>
            </w:r>
          </w:p>
          <w:p>
            <w:pPr>
              <w:pStyle w:val="43"/>
              <w:widowControl w:val="0"/>
              <w:numPr>
                <w:ilvl w:val="1"/>
                <w:numId w:val="5"/>
              </w:numPr>
              <w:snapToGrid w:val="0"/>
              <w:ind w:leftChars="0"/>
              <w:rPr>
                <w:iCs/>
                <w:szCs w:val="20"/>
              </w:rPr>
            </w:pPr>
            <w:r>
              <w:rPr>
                <w:iCs/>
                <w:szCs w:val="20"/>
              </w:rPr>
              <w:t>FFS: Value(s) of X</w:t>
            </w:r>
            <w:r>
              <w:rPr>
                <w:iCs/>
                <w:szCs w:val="20"/>
                <w:vertAlign w:val="subscript"/>
              </w:rPr>
              <w:t>1</w:t>
            </w:r>
            <w:r>
              <w:rPr>
                <w:iCs/>
                <w:szCs w:val="20"/>
              </w:rPr>
              <w:t xml:space="preserve"> and X</w:t>
            </w:r>
            <w:r>
              <w:rPr>
                <w:iCs/>
                <w:szCs w:val="20"/>
                <w:vertAlign w:val="subscript"/>
              </w:rPr>
              <w:t>2</w:t>
            </w:r>
            <w:r>
              <w:rPr>
                <w:iCs/>
                <w:szCs w:val="20"/>
              </w:rPr>
              <w:t xml:space="preserve"> and detailed design/spec impact </w:t>
            </w:r>
          </w:p>
          <w:p>
            <w:pPr>
              <w:widowControl w:val="0"/>
              <w:snapToGrid w:val="0"/>
              <w:rPr>
                <w:iCs/>
                <w:szCs w:val="20"/>
              </w:rPr>
            </w:pPr>
            <w:r>
              <w:rPr>
                <w:iCs/>
                <w:szCs w:val="20"/>
              </w:rPr>
              <w:t xml:space="preserve">FFS: </w:t>
            </w:r>
            <w:r>
              <w:rPr>
                <w:szCs w:val="20"/>
              </w:rPr>
              <w:t>Whether/how to enable shared CBSR in RRC configuration for Type-I/-II codebooks with a same (N</w:t>
            </w:r>
            <w:r>
              <w:rPr>
                <w:szCs w:val="20"/>
                <w:vertAlign w:val="subscript"/>
              </w:rPr>
              <w:t>1</w:t>
            </w:r>
            <w:r>
              <w:rPr>
                <w:szCs w:val="20"/>
              </w:rPr>
              <w:t>,N</w:t>
            </w:r>
            <w:r>
              <w:rPr>
                <w:szCs w:val="20"/>
                <w:vertAlign w:val="subscript"/>
              </w:rPr>
              <w:t>2</w:t>
            </w:r>
            <w:r>
              <w:rPr>
                <w:szCs w:val="20"/>
              </w:rPr>
              <w:t>).</w:t>
            </w:r>
          </w:p>
          <w:bookmarkEnd w:id="4"/>
          <w:p>
            <w:pPr>
              <w:widowControl w:val="0"/>
              <w:rPr>
                <w:rFonts w:hint="eastAsia" w:eastAsia="宋体"/>
                <w:lang w:eastAsia="zh-CN"/>
              </w:rPr>
            </w:pPr>
          </w:p>
        </w:tc>
      </w:tr>
    </w:tbl>
    <w:p>
      <w:pPr>
        <w:rPr>
          <w:lang w:eastAsia="zh-CN"/>
        </w:rPr>
      </w:pPr>
    </w:p>
    <w:p>
      <w:pPr>
        <w:rPr>
          <w:rFonts w:hint="eastAsia"/>
          <w:lang w:val="en-US" w:eastAsia="zh-CN"/>
        </w:rPr>
      </w:pPr>
      <w:bookmarkStart w:id="6" w:name="OLE_LINK10"/>
      <w:r>
        <w:rPr>
          <w:rFonts w:hint="eastAsia"/>
          <w:highlight w:val="none"/>
          <w:lang w:val="en-US" w:eastAsia="zh-CN"/>
        </w:rPr>
        <w:t xml:space="preserve">Then, according to the last meeting, it was agreed to adopt a group-based CBSR granularity in order to reduce the indication overhead of CBSR. For Rel-19 type-I SP and Type-II codebook, the spatial domain basis vectors are orthogonal for each oversample group, which ensures sufficient spatial isolation between adjacent beams. Therefore, in order to minimize interference with adjacent cells, we propose that the values of X1 and/or X2 should be integer multiples of O1 and/or O2, respectively. For example, </w:t>
      </w:r>
      <w:r>
        <w:rPr>
          <w:iCs/>
          <w:szCs w:val="20"/>
        </w:rPr>
        <w:t>X</w:t>
      </w:r>
      <w:r>
        <w:rPr>
          <w:iCs/>
          <w:szCs w:val="20"/>
          <w:vertAlign w:val="subscript"/>
        </w:rPr>
        <w:t>1</w:t>
      </w:r>
      <w:r>
        <w:rPr>
          <w:rFonts w:hint="eastAsia"/>
          <w:lang w:val="en-US" w:eastAsia="zh-CN"/>
        </w:rPr>
        <w:t>=</w:t>
      </w:r>
      <w:r>
        <w:rPr>
          <w:rFonts w:hint="default" w:ascii="Arial" w:hAnsi="Arial" w:cs="Arial"/>
          <w:lang w:val="en-US" w:eastAsia="zh-CN"/>
        </w:rPr>
        <w:t>α</w:t>
      </w:r>
      <w:r>
        <w:rPr>
          <w:rFonts w:eastAsia="宋体"/>
          <w:iCs/>
          <w:szCs w:val="20"/>
          <w:highlight w:val="none"/>
        </w:rPr>
        <w:t>O</w:t>
      </w:r>
      <w:r>
        <w:rPr>
          <w:rFonts w:eastAsia="宋体"/>
          <w:iCs/>
          <w:szCs w:val="20"/>
          <w:highlight w:val="none"/>
          <w:vertAlign w:val="subscript"/>
        </w:rPr>
        <w:t>1</w:t>
      </w:r>
      <w:r>
        <w:rPr>
          <w:rFonts w:hint="eastAsia"/>
          <w:iCs/>
          <w:szCs w:val="20"/>
          <w:highlight w:val="none"/>
          <w:vertAlign w:val="subscript"/>
          <w:lang w:val="en-US" w:eastAsia="zh-CN"/>
        </w:rPr>
        <w:t xml:space="preserve"> </w:t>
      </w:r>
      <w:r>
        <w:rPr>
          <w:rFonts w:hint="eastAsia"/>
          <w:lang w:val="en-US" w:eastAsia="zh-CN"/>
        </w:rPr>
        <w:t xml:space="preserve">and/or </w:t>
      </w:r>
      <w:r>
        <w:rPr>
          <w:iCs/>
          <w:szCs w:val="20"/>
        </w:rPr>
        <w:t>X</w:t>
      </w:r>
      <w:r>
        <w:rPr>
          <w:rFonts w:hint="eastAsia"/>
          <w:iCs/>
          <w:szCs w:val="20"/>
          <w:vertAlign w:val="subscript"/>
          <w:lang w:val="en-US" w:eastAsia="zh-CN"/>
        </w:rPr>
        <w:t>2</w:t>
      </w:r>
      <w:r>
        <w:rPr>
          <w:rFonts w:hint="eastAsia"/>
          <w:lang w:val="en-US" w:eastAsia="zh-CN"/>
        </w:rPr>
        <w:t>=</w:t>
      </w:r>
      <w:r>
        <w:rPr>
          <w:rFonts w:hint="default" w:ascii="Arial" w:hAnsi="Arial" w:cs="Arial"/>
          <w:lang w:val="en-US" w:eastAsia="zh-CN"/>
        </w:rPr>
        <w:t>β</w:t>
      </w:r>
      <w:r>
        <w:rPr>
          <w:rFonts w:eastAsia="宋体"/>
          <w:iCs/>
          <w:szCs w:val="20"/>
          <w:highlight w:val="none"/>
        </w:rPr>
        <w:t>O</w:t>
      </w:r>
      <w:r>
        <w:rPr>
          <w:rFonts w:hint="eastAsia"/>
          <w:iCs/>
          <w:szCs w:val="20"/>
          <w:highlight w:val="none"/>
          <w:vertAlign w:val="subscript"/>
          <w:lang w:val="en-US" w:eastAsia="zh-CN"/>
        </w:rPr>
        <w:t>2</w:t>
      </w:r>
      <w:r>
        <w:rPr>
          <w:rFonts w:hint="eastAsia"/>
          <w:highlight w:val="none"/>
          <w:lang w:val="en-US" w:eastAsia="zh-CN"/>
        </w:rPr>
        <w:t xml:space="preserve">, where </w:t>
      </w:r>
      <w:r>
        <w:rPr>
          <w:rFonts w:hint="default" w:ascii="Arial" w:hAnsi="Arial" w:cs="Arial"/>
          <w:lang w:val="en-US" w:eastAsia="zh-CN"/>
        </w:rPr>
        <w:t>α</w:t>
      </w:r>
      <w:r>
        <w:rPr>
          <w:rFonts w:hint="eastAsia"/>
          <w:lang w:val="en-US" w:eastAsia="zh-CN"/>
        </w:rPr>
        <w:t xml:space="preserve"> and </w:t>
      </w:r>
      <w:r>
        <w:rPr>
          <w:rFonts w:hint="default" w:ascii="Arial" w:hAnsi="Arial" w:cs="Arial"/>
          <w:lang w:val="en-US" w:eastAsia="zh-CN"/>
        </w:rPr>
        <w:t>β</w:t>
      </w:r>
      <w:r>
        <w:rPr>
          <w:rFonts w:hint="eastAsia"/>
          <w:lang w:val="en-US" w:eastAsia="zh-CN"/>
        </w:rPr>
        <w:t xml:space="preserve"> are positive integers.  </w:t>
      </w:r>
    </w:p>
    <w:p>
      <w:pPr>
        <w:rPr>
          <w:rFonts w:hint="eastAsia"/>
          <w:highlight w:val="none"/>
          <w:lang w:val="en-US" w:eastAsia="zh-CN"/>
        </w:rPr>
      </w:pPr>
      <w:r>
        <w:rPr>
          <w:rFonts w:hint="eastAsia"/>
          <w:highlight w:val="none"/>
          <w:lang w:val="en-US" w:eastAsia="zh-CN"/>
        </w:rPr>
        <w:t>Furthermore, to simplify the configuration of X1 and X2 and enhance the flexibility of group-based CBSR granularity, we suggest introducing the concept of a beam group pattern similar to using L=4 for legacy Rel-15 SP CB.</w:t>
      </w:r>
    </w:p>
    <w:bookmarkEnd w:id="6"/>
    <w:p>
      <w:r>
        <w:t xml:space="preserve">Based on the </w:t>
      </w:r>
      <w:r>
        <w:rPr>
          <w:rFonts w:hint="eastAsia"/>
          <w:lang w:val="en-US" w:eastAsia="zh-CN"/>
        </w:rPr>
        <w:t>analysis of above</w:t>
      </w:r>
      <w:r>
        <w:t xml:space="preserve">, the </w:t>
      </w:r>
      <w:bookmarkStart w:id="7" w:name="OLE_LINK8"/>
      <w:r>
        <w:t xml:space="preserve">following </w:t>
      </w:r>
      <w:bookmarkEnd w:id="7"/>
      <w:r>
        <w:t>is proposed.</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val="0"/>
          <w:i/>
          <w:iCs w:val="0"/>
          <w:highlight w:val="none"/>
          <w:lang w:val="en-US" w:eastAsia="zh-CN"/>
        </w:rPr>
      </w:pPr>
      <w:r>
        <w:rPr>
          <w:b/>
          <w:i/>
          <w:lang w:eastAsia="zh-CN"/>
        </w:rPr>
        <w:t xml:space="preserve">: </w:t>
      </w:r>
      <w:r>
        <w:rPr>
          <w:rFonts w:hint="eastAsia" w:ascii="Times New Roman" w:hAnsi="Times New Roman" w:eastAsia="宋体" w:cs="Times New Roman"/>
          <w:b/>
          <w:bCs/>
          <w:i/>
          <w:iCs/>
          <w:sz w:val="22"/>
          <w:szCs w:val="22"/>
          <w:lang w:val="en-US" w:eastAsia="zh-CN" w:bidi="ar-SA"/>
        </w:rPr>
        <w:t xml:space="preserve">The values of </w:t>
      </w:r>
      <w:r>
        <w:rPr>
          <w:rFonts w:hint="eastAsia" w:ascii="Times New Roman" w:hAnsi="Times New Roman" w:eastAsia="宋体" w:cs="Times New Roman"/>
          <w:b/>
          <w:bCs/>
          <w:i/>
          <w:iCs/>
          <w:sz w:val="22"/>
          <w:szCs w:val="22"/>
          <w:lang w:val="en-GB" w:eastAsia="zh-CN" w:bidi="ar-SA"/>
        </w:rPr>
        <w:t>X1</w:t>
      </w:r>
      <w:r>
        <w:rPr>
          <w:rFonts w:hint="eastAsia" w:ascii="Times New Roman" w:hAnsi="Times New Roman" w:eastAsia="宋体" w:cs="Times New Roman"/>
          <w:b/>
          <w:bCs/>
          <w:i/>
          <w:iCs/>
          <w:sz w:val="22"/>
          <w:szCs w:val="22"/>
          <w:lang w:val="en-US" w:eastAsia="zh-CN" w:bidi="ar-SA"/>
        </w:rPr>
        <w:t xml:space="preserve"> and/or </w:t>
      </w:r>
      <w:r>
        <w:rPr>
          <w:rFonts w:hint="eastAsia" w:ascii="Times New Roman" w:hAnsi="Times New Roman" w:eastAsia="宋体" w:cs="Times New Roman"/>
          <w:b/>
          <w:bCs/>
          <w:i/>
          <w:iCs/>
          <w:sz w:val="22"/>
          <w:szCs w:val="22"/>
          <w:lang w:val="en-GB" w:eastAsia="zh-CN" w:bidi="ar-SA"/>
        </w:rPr>
        <w:t>X</w:t>
      </w:r>
      <w:r>
        <w:rPr>
          <w:rFonts w:hint="eastAsia" w:ascii="Times New Roman" w:hAnsi="Times New Roman" w:eastAsia="宋体" w:cs="Times New Roman"/>
          <w:b/>
          <w:bCs/>
          <w:i/>
          <w:iCs/>
          <w:sz w:val="22"/>
          <w:szCs w:val="22"/>
          <w:lang w:val="en-US" w:eastAsia="zh-CN" w:bidi="ar-SA"/>
        </w:rPr>
        <w:t>2 should be integer multiple</w:t>
      </w:r>
      <w:r>
        <w:rPr>
          <w:rFonts w:hint="eastAsia" w:cs="Times New Roman"/>
          <w:b/>
          <w:bCs/>
          <w:i/>
          <w:iCs/>
          <w:sz w:val="22"/>
          <w:szCs w:val="22"/>
          <w:lang w:val="en-US" w:eastAsia="zh-CN" w:bidi="ar-SA"/>
        </w:rPr>
        <w:t>s</w:t>
      </w:r>
      <w:r>
        <w:rPr>
          <w:rFonts w:hint="eastAsia" w:ascii="Times New Roman" w:hAnsi="Times New Roman" w:eastAsia="宋体" w:cs="Times New Roman"/>
          <w:b/>
          <w:bCs/>
          <w:i/>
          <w:iCs/>
          <w:sz w:val="22"/>
          <w:szCs w:val="22"/>
          <w:lang w:val="en-US" w:eastAsia="zh-CN" w:bidi="ar-SA"/>
        </w:rPr>
        <w:t xml:space="preserve"> of  </w:t>
      </w:r>
      <w:r>
        <w:rPr>
          <w:rFonts w:hint="eastAsia" w:ascii="Times New Roman" w:hAnsi="Times New Roman" w:eastAsia="宋体" w:cs="Times New Roman"/>
          <w:b/>
          <w:bCs/>
          <w:i/>
          <w:iCs/>
          <w:sz w:val="22"/>
          <w:szCs w:val="22"/>
          <w:lang w:val="en-GB" w:eastAsia="zh-CN" w:bidi="ar-SA"/>
        </w:rPr>
        <w:t>O1</w:t>
      </w:r>
      <w:r>
        <w:rPr>
          <w:rFonts w:hint="eastAsia" w:ascii="Times New Roman" w:hAnsi="Times New Roman" w:eastAsia="宋体" w:cs="Times New Roman"/>
          <w:b/>
          <w:bCs/>
          <w:i/>
          <w:iCs/>
          <w:sz w:val="22"/>
          <w:szCs w:val="22"/>
          <w:lang w:val="en-US" w:eastAsia="zh-CN" w:bidi="ar-SA"/>
        </w:rPr>
        <w:t xml:space="preserve"> and/or</w:t>
      </w:r>
      <w:r>
        <w:rPr>
          <w:rFonts w:hint="eastAsia" w:ascii="Times New Roman" w:hAnsi="Times New Roman" w:eastAsia="宋体" w:cs="Times New Roman"/>
          <w:b/>
          <w:bCs/>
          <w:i/>
          <w:iCs/>
          <w:sz w:val="22"/>
          <w:szCs w:val="22"/>
          <w:lang w:val="en-GB" w:eastAsia="zh-CN" w:bidi="ar-SA"/>
        </w:rPr>
        <w:t xml:space="preserve"> O2</w:t>
      </w:r>
      <w:r>
        <w:rPr>
          <w:rFonts w:hint="eastAsia" w:ascii="Times New Roman" w:hAnsi="Times New Roman" w:eastAsia="宋体" w:cs="Times New Roman"/>
          <w:b/>
          <w:bCs/>
          <w:i/>
          <w:iCs/>
          <w:sz w:val="22"/>
          <w:szCs w:val="22"/>
          <w:lang w:val="en-US" w:eastAsia="zh-CN" w:bidi="ar-SA"/>
        </w:rPr>
        <w:t xml:space="preserve"> respectively. </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b/>
          <w:bCs w:val="0"/>
          <w:i/>
          <w:iCs w:val="0"/>
          <w:highlight w:val="none"/>
          <w:lang w:val="en-US" w:eastAsia="zh-CN"/>
        </w:rPr>
      </w:pPr>
      <w:r>
        <w:rPr>
          <w:rFonts w:hint="eastAsia"/>
          <w:b/>
          <w:bCs w:val="0"/>
          <w:i/>
          <w:iCs w:val="0"/>
          <w:highlight w:val="none"/>
          <w:lang w:val="en-US" w:eastAsia="zh-CN"/>
        </w:rPr>
        <w:t xml:space="preserve">: </w:t>
      </w:r>
      <w:r>
        <w:rPr>
          <w:rFonts w:hint="eastAsia" w:ascii="Times New Roman" w:hAnsi="Times New Roman" w:eastAsia="宋体" w:cs="Times New Roman"/>
          <w:b/>
          <w:bCs/>
          <w:i/>
          <w:iCs/>
          <w:sz w:val="22"/>
          <w:szCs w:val="22"/>
          <w:lang w:val="en-GB" w:eastAsia="zh-CN" w:bidi="ar-SA"/>
        </w:rPr>
        <w:t>Introduce beam group patterns to indicate the group-based CBSR granularity.</w:t>
      </w:r>
    </w:p>
    <w:p>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ind w:leftChars="0"/>
        <w:textAlignment w:val="auto"/>
        <w:rPr>
          <w:rFonts w:hint="default"/>
          <w:b/>
          <w:bCs w:val="0"/>
          <w:i/>
          <w:iCs w:val="0"/>
          <w:highlight w:val="none"/>
          <w:lang w:val="en-US" w:eastAsia="zh-CN"/>
        </w:rPr>
      </w:pPr>
    </w:p>
    <w:p>
      <w:pPr>
        <w:pStyle w:val="3"/>
        <w:bidi w:val="0"/>
        <w:rPr>
          <w:rFonts w:hint="default"/>
          <w:lang w:val="en-US" w:eastAsia="zh-CN"/>
        </w:rPr>
      </w:pPr>
      <w:r>
        <w:rPr>
          <w:rFonts w:hint="eastAsia"/>
          <w:lang w:val="en-US" w:eastAsia="zh-CN"/>
        </w:rPr>
        <w:t xml:space="preserve">CPU occupation </w:t>
      </w:r>
    </w:p>
    <w:p>
      <w:pPr>
        <w:rPr>
          <w:rFonts w:hint="default"/>
          <w:b/>
          <w:bCs/>
          <w:i/>
          <w:iCs/>
          <w:lang w:val="en-US" w:eastAsia="zh-CN"/>
        </w:rPr>
      </w:pPr>
      <w:r>
        <w:rPr>
          <w:rFonts w:ascii="Times New Roman" w:hAnsi="Times New Roman" w:eastAsiaTheme="minorEastAsia"/>
          <w:sz w:val="22"/>
          <w:lang w:eastAsia="zh-CN"/>
        </w:rPr>
        <w:t>In last meeting,</w:t>
      </w:r>
      <w:r>
        <w:rPr>
          <w:rFonts w:hint="eastAsia" w:eastAsiaTheme="minorEastAsia"/>
          <w:sz w:val="22"/>
          <w:lang w:val="en-US" w:eastAsia="zh-CN"/>
        </w:rPr>
        <w:t xml:space="preserve"> two UE capabilities for timeline </w:t>
      </w:r>
      <w:r>
        <w:rPr>
          <w:bCs/>
          <w:iCs/>
          <w:szCs w:val="20"/>
        </w:rPr>
        <w:t xml:space="preserve"> Z/Z’</w:t>
      </w:r>
      <w:r>
        <w:rPr>
          <w:rFonts w:hint="eastAsia" w:eastAsiaTheme="minorEastAsia"/>
          <w:sz w:val="22"/>
          <w:lang w:val="en-US" w:eastAsia="zh-CN"/>
        </w:rPr>
        <w:t xml:space="preserve"> was agreed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adjustRightInd w:val="0"/>
              <w:snapToGrid w:val="0"/>
              <w:rPr>
                <w:b/>
                <w:bCs/>
                <w:szCs w:val="20"/>
                <w:highlight w:val="green"/>
                <w:lang w:eastAsia="zh-CN"/>
              </w:rPr>
            </w:pPr>
            <w:r>
              <w:rPr>
                <w:b/>
                <w:bCs/>
                <w:szCs w:val="20"/>
                <w:highlight w:val="green"/>
                <w:lang w:eastAsia="zh-CN"/>
              </w:rPr>
              <w:t>Agreement</w:t>
            </w:r>
          </w:p>
          <w:p>
            <w:pPr>
              <w:widowControl w:val="0"/>
              <w:snapToGrid w:val="0"/>
              <w:rPr>
                <w:iCs/>
                <w:szCs w:val="20"/>
              </w:rPr>
            </w:pPr>
            <w:r>
              <w:rPr>
                <w:szCs w:val="20"/>
              </w:rPr>
              <w:t xml:space="preserve">For the </w:t>
            </w:r>
            <w:r>
              <w:rPr>
                <w:iCs/>
                <w:szCs w:val="20"/>
              </w:rPr>
              <w:t xml:space="preserve">Rel-19 Type-I SP and Type-II codebook refinements for </w:t>
            </w:r>
            <w:r>
              <w:rPr>
                <w:rFonts w:eastAsia="宋体"/>
                <w:iCs/>
                <w:szCs w:val="20"/>
              </w:rPr>
              <w:t>48, 64, and</w:t>
            </w:r>
            <w:r>
              <w:rPr>
                <w:iCs/>
                <w:szCs w:val="20"/>
              </w:rPr>
              <w:t xml:space="preserve"> 128 CSI-RS ports via aggregating K&gt;1 CSI-RS resources, regarding timeline, </w:t>
            </w:r>
            <w:r>
              <w:rPr>
                <w:bCs/>
                <w:iCs/>
                <w:szCs w:val="20"/>
              </w:rPr>
              <w:t>introduce two UE capabilities:</w:t>
            </w:r>
          </w:p>
          <w:p>
            <w:pPr>
              <w:widowControl w:val="0"/>
              <w:numPr>
                <w:ilvl w:val="0"/>
                <w:numId w:val="6"/>
              </w:numPr>
              <w:snapToGrid w:val="0"/>
              <w:rPr>
                <w:iCs/>
                <w:szCs w:val="20"/>
              </w:rPr>
            </w:pPr>
            <w:r>
              <w:rPr>
                <w:bCs/>
                <w:iCs/>
                <w:szCs w:val="20"/>
              </w:rPr>
              <w:t>Capability 1: Reuse legacy</w:t>
            </w:r>
            <w:bookmarkStart w:id="8" w:name="OLE_LINK6"/>
            <w:r>
              <w:rPr>
                <w:bCs/>
                <w:iCs/>
                <w:szCs w:val="20"/>
              </w:rPr>
              <w:t xml:space="preserve"> Z/Z’</w:t>
            </w:r>
            <w:bookmarkEnd w:id="8"/>
            <w:r>
              <w:rPr>
                <w:bCs/>
                <w:iCs/>
                <w:szCs w:val="20"/>
              </w:rPr>
              <w:t xml:space="preserve"> values</w:t>
            </w:r>
          </w:p>
          <w:p>
            <w:pPr>
              <w:widowControl w:val="0"/>
              <w:numPr>
                <w:ilvl w:val="0"/>
                <w:numId w:val="6"/>
              </w:numPr>
              <w:snapToGrid w:val="0"/>
              <w:rPr>
                <w:iCs/>
                <w:szCs w:val="20"/>
              </w:rPr>
            </w:pPr>
            <w:r>
              <w:rPr>
                <w:bCs/>
                <w:iCs/>
                <w:szCs w:val="20"/>
              </w:rPr>
              <w:t xml:space="preserve">Capability 2: </w:t>
            </w:r>
            <w:bookmarkStart w:id="9" w:name="OLE_LINK20"/>
            <w:r>
              <w:rPr>
                <w:iCs/>
                <w:szCs w:val="20"/>
              </w:rPr>
              <w:t>Scale the legacy timeline Z/Z’ by ceil(P/32) where P is the total number of ports across all the K aggregated CSI-RS resources</w:t>
            </w:r>
            <w:bookmarkEnd w:id="9"/>
          </w:p>
          <w:p>
            <w:pPr>
              <w:widowControl w:val="0"/>
              <w:snapToGrid w:val="0"/>
              <w:rPr>
                <w:iCs/>
                <w:szCs w:val="20"/>
              </w:rPr>
            </w:pPr>
            <w:r>
              <w:rPr>
                <w:iCs/>
                <w:szCs w:val="20"/>
              </w:rPr>
              <w:t>FFS: CPU occupation and active resource counting</w:t>
            </w:r>
          </w:p>
          <w:p>
            <w:pPr>
              <w:widowControl w:val="0"/>
              <w:snapToGrid w:val="0"/>
              <w:rPr>
                <w:iCs/>
                <w:szCs w:val="20"/>
              </w:rPr>
            </w:pPr>
            <w:r>
              <w:rPr>
                <w:iCs/>
                <w:szCs w:val="20"/>
              </w:rPr>
              <w:t xml:space="preserve">Note: </w:t>
            </w:r>
          </w:p>
          <w:p>
            <w:pPr>
              <w:pStyle w:val="43"/>
              <w:widowControl w:val="0"/>
              <w:numPr>
                <w:ilvl w:val="0"/>
                <w:numId w:val="7"/>
              </w:numPr>
              <w:snapToGrid w:val="0"/>
              <w:ind w:leftChars="0"/>
              <w:contextualSpacing/>
              <w:rPr>
                <w:iCs/>
                <w:szCs w:val="20"/>
              </w:rPr>
            </w:pPr>
            <w:r>
              <w:rPr>
                <w:iCs/>
                <w:szCs w:val="20"/>
              </w:rPr>
              <w:t xml:space="preserve">The legacy timeline Z/Z’ for Type-I corresponds to </w:t>
            </w:r>
            <w:r>
              <w:rPr>
                <w:szCs w:val="20"/>
              </w:rPr>
              <w:t xml:space="preserve">Z1/Z1’ in Table 5.4-2 of TS38.214 for Type-I WB SP-CSI with at most 4 CSI-RS ports in a single resource without CRI, </w:t>
            </w:r>
            <w:bookmarkStart w:id="10" w:name="OLE_LINK30"/>
            <w:r>
              <w:rPr>
                <w:szCs w:val="20"/>
              </w:rPr>
              <w:t>and Z2/Z2’ for other Type-I cases</w:t>
            </w:r>
          </w:p>
          <w:p>
            <w:pPr>
              <w:pStyle w:val="43"/>
              <w:widowControl w:val="0"/>
              <w:numPr>
                <w:ilvl w:val="0"/>
                <w:numId w:val="7"/>
              </w:numPr>
              <w:snapToGrid w:val="0"/>
              <w:ind w:leftChars="0"/>
              <w:contextualSpacing/>
              <w:rPr>
                <w:iCs/>
                <w:szCs w:val="20"/>
              </w:rPr>
            </w:pPr>
            <w:r>
              <w:rPr>
                <w:iCs/>
                <w:szCs w:val="20"/>
              </w:rPr>
              <w:t xml:space="preserve">The legacy timeline Z/Z’ for Type-II corresponds to </w:t>
            </w:r>
            <w:bookmarkStart w:id="11" w:name="OLE_LINK16"/>
            <w:r>
              <w:rPr>
                <w:iCs/>
                <w:szCs w:val="20"/>
              </w:rPr>
              <w:t>Z2/Z2’</w:t>
            </w:r>
            <w:bookmarkEnd w:id="11"/>
          </w:p>
          <w:bookmarkEnd w:id="10"/>
          <w:p>
            <w:pPr>
              <w:widowControl w:val="0"/>
              <w:rPr>
                <w:rFonts w:hint="eastAsia" w:eastAsia="宋体"/>
                <w:lang w:eastAsia="zh-CN"/>
              </w:rPr>
            </w:pPr>
          </w:p>
        </w:tc>
      </w:tr>
    </w:tbl>
    <w:p>
      <w:pPr>
        <w:rPr>
          <w:lang w:eastAsia="zh-CN"/>
        </w:rPr>
      </w:pPr>
    </w:p>
    <w:p>
      <w:pPr>
        <w:rPr>
          <w:lang w:eastAsia="zh-CN"/>
        </w:rPr>
      </w:pPr>
      <w:r>
        <w:rPr>
          <w:rFonts w:hint="eastAsia"/>
          <w:lang w:val="en-US" w:eastAsia="zh-CN"/>
        </w:rPr>
        <w:t xml:space="preserve">For Rel-15 Type-I SP CB, Rel-16 eType-II CB, and Rel-17 FeTypeII port selection CB, the CPU occupation of CSI reporting </w:t>
      </w:r>
      <w:bookmarkStart w:id="12" w:name="OLE_LINK23"/>
      <w:r>
        <w:rPr>
          <w:rFonts w:hint="eastAsia"/>
          <w:lang w:val="en-US" w:eastAsia="zh-CN"/>
        </w:rPr>
        <w:t>is</w:t>
      </w:r>
      <w:r>
        <w:rPr>
          <w:rFonts w:hint="eastAsia"/>
          <w:lang w:eastAsia="zh-CN"/>
        </w:rPr>
        <w:t xml:space="preserve"> denoted as</w:t>
      </w:r>
      <w:r>
        <w:rPr>
          <w:rFonts w:hint="eastAsia"/>
          <w:lang w:val="en-US" w:eastAsia="zh-CN"/>
        </w:rPr>
        <w:t xml:space="preserve"> </w:t>
      </w:r>
      <m:oMath>
        <m:sSub>
          <m:sSubPr>
            <m:ctrlPr>
              <w:rPr>
                <w:rFonts w:ascii="Cambria Math" w:hAnsi="Cambria Math"/>
                <w:i/>
                <w:color w:val="auto"/>
                <w:highlight w:val="none"/>
              </w:rPr>
            </m:ctrlPr>
          </m:sSubPr>
          <m:e>
            <m:r>
              <m:rPr/>
              <w:rPr>
                <w:rFonts w:ascii="Cambria Math" w:hAnsi="Cambria Math"/>
                <w:color w:val="auto"/>
                <w:highlight w:val="none"/>
              </w:rPr>
              <m:t>O</m:t>
            </m:r>
            <m:ctrlPr>
              <w:rPr>
                <w:rFonts w:ascii="Cambria Math" w:hAnsi="Cambria Math"/>
                <w:i/>
                <w:color w:val="auto"/>
                <w:highlight w:val="none"/>
              </w:rPr>
            </m:ctrlPr>
          </m:e>
          <m:sub>
            <m:r>
              <m:rPr/>
              <w:rPr>
                <w:rFonts w:ascii="Cambria Math" w:hAnsi="Cambria Math"/>
                <w:color w:val="auto"/>
                <w:highlight w:val="none"/>
              </w:rPr>
              <m:t>CPU</m:t>
            </m:r>
            <m:ctrlPr>
              <w:rPr>
                <w:rFonts w:ascii="Cambria Math" w:hAnsi="Cambria Math"/>
                <w:i/>
                <w:color w:val="auto"/>
                <w:highlight w:val="none"/>
              </w:rPr>
            </m:ctrlPr>
            <w:bookmarkEnd w:id="12"/>
          </m:sub>
        </m:sSub>
        <w:bookmarkStart w:id="13" w:name="OLE_LINK35"/>
        <m:r>
          <m:rPr/>
          <w:rPr>
            <w:rFonts w:ascii="Cambria Math" w:hAnsi="Cambria Math"/>
            <w:color w:val="auto"/>
            <w:highlight w:val="none"/>
          </w:rPr>
          <m:t>=K</m:t>
        </m:r>
      </m:oMath>
      <w:bookmarkEnd w:id="13"/>
      <w:r>
        <w:rPr>
          <w:rFonts w:hint="eastAsia" w:hAnsi="Cambria Math"/>
          <w:i w:val="0"/>
          <w:color w:val="auto"/>
          <w:highlight w:val="none"/>
          <w:lang w:val="en-US" w:eastAsia="zh-CN"/>
        </w:rPr>
        <w:t xml:space="preserve">, </w:t>
      </w:r>
      <w:r>
        <w:rPr>
          <w:color w:val="auto"/>
          <w:highlight w:val="none"/>
        </w:rPr>
        <w:t xml:space="preserve">where </w:t>
      </w:r>
      <m:oMath>
        <m:r>
          <m:rPr/>
          <w:rPr>
            <w:rFonts w:ascii="Cambria Math" w:hAnsi="Cambria Math"/>
            <w:color w:val="auto"/>
            <w:highlight w:val="none"/>
          </w:rPr>
          <m:t xml:space="preserve">K </m:t>
        </m:r>
      </m:oMath>
      <w:r>
        <w:rPr>
          <w:color w:val="auto"/>
          <w:highlight w:val="none"/>
        </w:rPr>
        <w:fldChar w:fldCharType="begin"/>
      </w:r>
      <w:r>
        <w:rPr>
          <w:color w:val="auto"/>
          <w:highlight w:val="none"/>
        </w:rPr>
        <w:instrText xml:space="preserve"> QUOTE </w:instrText>
      </w:r>
      <m:oMath>
        <m:sSub>
          <m:sSubPr>
            <m:ctrlPr>
              <w:rPr>
                <w:rFonts w:ascii="Cambria Math" w:hAnsi="Cambria Math"/>
                <w:i/>
                <w:color w:val="auto"/>
                <w:highlight w:val="none"/>
              </w:rPr>
            </m:ctrlPr>
          </m:sSubPr>
          <m:e>
            <m:r>
              <m:rPr>
                <m:sty m:val="p"/>
              </m:rPr>
              <w:rPr>
                <w:rFonts w:ascii="Cambria Math" w:hAnsi="Cambria Math"/>
                <w:color w:val="auto"/>
                <w:highlight w:val="none"/>
              </w:rPr>
              <m:t xml:space="preserve">K</m:t>
            </m:r>
            <m:ctrlPr>
              <w:rPr>
                <w:rFonts w:ascii="Cambria Math" w:hAnsi="Cambria Math"/>
                <w:i/>
                <w:color w:val="auto"/>
                <w:highlight w:val="none"/>
              </w:rPr>
            </m:ctrlPr>
          </m:e>
          <m:sub>
            <m:r>
              <m:rPr>
                <m:sty m:val="p"/>
              </m:rPr>
              <w:rPr>
                <w:rFonts w:ascii="Cambria Math" w:hAnsi="Cambria Math"/>
                <w:color w:val="auto"/>
                <w:highlight w:val="none"/>
              </w:rPr>
              <m:t xml:space="preserve">s</m:t>
            </m:r>
            <m:ctrlPr>
              <w:rPr>
                <w:rFonts w:ascii="Cambria Math" w:hAnsi="Cambria Math"/>
                <w:i/>
                <w:color w:val="auto"/>
                <w:highlight w:val="none"/>
              </w:rPr>
            </m:ctrlPr>
          </m:sub>
        </m:sSub>
        <m:r>
          <m:rPr>
            <m:sty m:val="p"/>
          </m:rPr>
          <w:rPr>
            <w:rFonts w:ascii="Cambria Math" w:hAnsi="Cambria Math"/>
            <w:color w:val="auto"/>
            <w:highlight w:val="none"/>
          </w:rPr>
          <m:t xml:space="preserve"> </m:t>
        </m:r>
      </m:oMath>
      <w:r>
        <w:rPr>
          <w:color w:val="auto"/>
          <w:highlight w:val="none"/>
        </w:rPr>
        <w:instrText xml:space="preserve"> </w:instrText>
      </w:r>
      <w:r>
        <w:rPr>
          <w:color w:val="auto"/>
          <w:highlight w:val="none"/>
        </w:rPr>
        <w:fldChar w:fldCharType="end"/>
      </w:r>
      <w:r>
        <w:rPr>
          <w:color w:val="auto"/>
          <w:highlight w:val="none"/>
        </w:rPr>
        <w:t>is the number of CSI-RS resources in the CSI-RS resource set for channel measurement.</w:t>
      </w:r>
      <w:r>
        <w:rPr>
          <w:rFonts w:hint="eastAsia"/>
          <w:color w:val="auto"/>
          <w:highlight w:val="none"/>
          <w:lang w:val="en-US" w:eastAsia="zh-CN"/>
        </w:rPr>
        <w:t xml:space="preserve"> </w:t>
      </w:r>
      <w:r>
        <w:rPr>
          <w:rFonts w:hint="eastAsia"/>
          <w:lang w:eastAsia="zh-CN"/>
        </w:rPr>
        <w:t>Furthermore</w:t>
      </w:r>
      <w:r>
        <w:rPr>
          <w:rFonts w:hint="eastAsia"/>
          <w:color w:val="auto"/>
          <w:highlight w:val="none"/>
          <w:lang w:val="en-US" w:eastAsia="zh-CN"/>
        </w:rPr>
        <w:t xml:space="preserve">, for Rel-18 CJT CB, the maximum number of CSI-RS resource is 4, which </w:t>
      </w:r>
      <w:r>
        <w:rPr>
          <w:rFonts w:hint="eastAsia"/>
          <w:lang w:eastAsia="zh-CN"/>
        </w:rPr>
        <w:t xml:space="preserve">corresponds to this specific use case of the aggregated </w:t>
      </w:r>
      <m:oMath>
        <m:r>
          <m:rPr/>
          <w:rPr>
            <w:rFonts w:ascii="Cambria Math" w:hAnsi="Cambria Math"/>
            <w:color w:val="auto"/>
            <w:highlight w:val="none"/>
          </w:rPr>
          <m:t>K</m:t>
        </m:r>
      </m:oMath>
      <w:r>
        <w:rPr>
          <w:rFonts w:hint="eastAsia"/>
          <w:lang w:eastAsia="zh-CN"/>
        </w:rPr>
        <w:t xml:space="preserve"> CSI-RS resources.</w:t>
      </w:r>
      <w:r>
        <w:rPr>
          <w:rFonts w:hint="eastAsia"/>
          <w:lang w:val="en-US" w:eastAsia="zh-CN"/>
        </w:rPr>
        <w:t xml:space="preserve"> </w:t>
      </w:r>
      <w:r>
        <w:rPr>
          <w:rFonts w:hint="eastAsia"/>
          <w:lang w:eastAsia="zh-CN"/>
        </w:rPr>
        <w:t>If we do not consider the codebook parameter choice, the value of</w:t>
      </w:r>
      <w:r>
        <w:rPr>
          <w:rFonts w:hint="eastAsia"/>
          <w:lang w:val="en-US" w:eastAsia="zh-CN"/>
        </w:rPr>
        <w:t xml:space="preserve"> </w:t>
      </w:r>
      <m:oMath>
        <m:sSub>
          <m:sSubPr>
            <m:ctrlPr>
              <w:rPr>
                <w:rFonts w:ascii="Cambria Math" w:hAnsi="Cambria Math"/>
                <w:i/>
                <w:color w:val="auto"/>
                <w:highlight w:val="none"/>
              </w:rPr>
            </m:ctrlPr>
          </m:sSubPr>
          <m:e>
            <m:r>
              <m:rPr/>
              <w:rPr>
                <w:rFonts w:ascii="Cambria Math" w:hAnsi="Cambria Math"/>
                <w:color w:val="auto"/>
                <w:highlight w:val="none"/>
              </w:rPr>
              <m:t>O</m:t>
            </m:r>
            <m:ctrlPr>
              <w:rPr>
                <w:rFonts w:ascii="Cambria Math" w:hAnsi="Cambria Math"/>
                <w:i/>
                <w:color w:val="auto"/>
                <w:highlight w:val="none"/>
              </w:rPr>
            </m:ctrlPr>
          </m:e>
          <m:sub>
            <m:r>
              <m:rPr/>
              <w:rPr>
                <w:rFonts w:ascii="Cambria Math" w:hAnsi="Cambria Math"/>
                <w:color w:val="auto"/>
                <w:highlight w:val="none"/>
              </w:rPr>
              <m:t>CPU</m:t>
            </m:r>
            <m:ctrlPr>
              <w:rPr>
                <w:rFonts w:ascii="Cambria Math" w:hAnsi="Cambria Math"/>
                <w:i/>
                <w:color w:val="auto"/>
                <w:highlight w:val="none"/>
              </w:rPr>
            </m:ctrlPr>
          </m:sub>
        </m:sSub>
      </m:oMath>
      <w:r>
        <w:rPr>
          <w:rFonts w:hint="eastAsia" w:hAnsi="Cambria Math"/>
          <w:i w:val="0"/>
          <w:color w:val="auto"/>
          <w:highlight w:val="none"/>
          <w:lang w:val="en-US" w:eastAsia="zh-CN"/>
        </w:rPr>
        <w:t xml:space="preserve"> </w:t>
      </w:r>
      <w:r>
        <w:rPr>
          <w:rFonts w:hint="eastAsia"/>
          <w:lang w:eastAsia="zh-CN"/>
        </w:rPr>
        <w:t xml:space="preserve">is only related to the number of </w:t>
      </w:r>
      <w:r>
        <w:rPr>
          <w:rFonts w:hint="eastAsia"/>
          <w:lang w:val="en-US" w:eastAsia="zh-CN"/>
        </w:rPr>
        <w:t xml:space="preserve">TRPs or </w:t>
      </w:r>
      <w:r>
        <w:rPr>
          <w:rFonts w:hint="eastAsia"/>
          <w:lang w:eastAsia="zh-CN"/>
        </w:rPr>
        <w:t xml:space="preserve">CSI-RS resources. Therefore, we believe that the legacy value of </w:t>
      </w:r>
      <m:oMath>
        <m:sSub>
          <m:sSubPr>
            <m:ctrlPr>
              <w:rPr>
                <w:rFonts w:ascii="Cambria Math" w:hAnsi="Cambria Math"/>
                <w:i/>
                <w:color w:val="auto"/>
                <w:highlight w:val="none"/>
              </w:rPr>
            </m:ctrlPr>
          </m:sSubPr>
          <m:e>
            <m:r>
              <m:rPr/>
              <w:rPr>
                <w:rFonts w:ascii="Cambria Math" w:hAnsi="Cambria Math"/>
                <w:color w:val="auto"/>
                <w:highlight w:val="none"/>
              </w:rPr>
              <m:t>O</m:t>
            </m:r>
            <m:ctrlPr>
              <w:rPr>
                <w:rFonts w:ascii="Cambria Math" w:hAnsi="Cambria Math"/>
                <w:i/>
                <w:color w:val="auto"/>
                <w:highlight w:val="none"/>
              </w:rPr>
            </m:ctrlPr>
          </m:e>
          <m:sub>
            <m:r>
              <m:rPr/>
              <w:rPr>
                <w:rFonts w:ascii="Cambria Math" w:hAnsi="Cambria Math"/>
                <w:color w:val="auto"/>
                <w:highlight w:val="none"/>
              </w:rPr>
              <m:t>CPU</m:t>
            </m:r>
            <m:ctrlPr>
              <w:rPr>
                <w:rFonts w:ascii="Cambria Math" w:hAnsi="Cambria Math"/>
                <w:i/>
                <w:color w:val="auto"/>
                <w:highlight w:val="none"/>
              </w:rPr>
            </m:ctrlPr>
          </m:sub>
        </m:sSub>
      </m:oMath>
      <w:r>
        <w:rPr>
          <w:rFonts w:hint="eastAsia"/>
          <w:lang w:eastAsia="zh-CN"/>
        </w:rPr>
        <w:t xml:space="preserve"> can be reused, for example, </w:t>
      </w:r>
      <m:oMath>
        <m:sSub>
          <m:sSubPr>
            <m:ctrlPr>
              <w:rPr>
                <w:rFonts w:ascii="Cambria Math" w:hAnsi="Cambria Math"/>
                <w:i/>
                <w:color w:val="auto"/>
                <w:highlight w:val="none"/>
              </w:rPr>
            </m:ctrlPr>
          </m:sSubPr>
          <m:e>
            <m:r>
              <m:rPr/>
              <w:rPr>
                <w:rFonts w:ascii="Cambria Math" w:hAnsi="Cambria Math"/>
                <w:color w:val="auto"/>
                <w:highlight w:val="none"/>
              </w:rPr>
              <m:t>O</m:t>
            </m:r>
            <m:ctrlPr>
              <w:rPr>
                <w:rFonts w:ascii="Cambria Math" w:hAnsi="Cambria Math"/>
                <w:i/>
                <w:color w:val="auto"/>
                <w:highlight w:val="none"/>
              </w:rPr>
            </m:ctrlPr>
          </m:e>
          <m:sub>
            <m:r>
              <m:rPr/>
              <w:rPr>
                <w:rFonts w:ascii="Cambria Math" w:hAnsi="Cambria Math"/>
                <w:color w:val="auto"/>
                <w:highlight w:val="none"/>
              </w:rPr>
              <m:t>CPU</m:t>
            </m:r>
            <m:ctrlPr>
              <w:rPr>
                <w:rFonts w:ascii="Cambria Math" w:hAnsi="Cambria Math"/>
                <w:i/>
                <w:color w:val="auto"/>
                <w:highlight w:val="none"/>
              </w:rPr>
            </m:ctrlPr>
          </m:sub>
        </m:sSub>
      </m:oMath>
      <w:r>
        <w:rPr>
          <w:rFonts w:hint="eastAsia" w:hAnsi="Cambria Math"/>
          <w:i w:val="0"/>
          <w:color w:val="auto"/>
          <w:highlight w:val="none"/>
          <w:lang w:val="en-US" w:eastAsia="zh-CN"/>
        </w:rPr>
        <w:t xml:space="preserve"> </w:t>
      </w:r>
      <m:oMath>
        <m:r>
          <m:rPr/>
          <w:rPr>
            <w:rFonts w:ascii="Cambria Math" w:hAnsi="Cambria Math"/>
            <w:color w:val="auto"/>
            <w:highlight w:val="none"/>
          </w:rPr>
          <m:t>=K</m:t>
        </m:r>
      </m:oMath>
      <w:r>
        <w:rPr>
          <w:rFonts w:hint="eastAsia"/>
          <w:lang w:eastAsia="zh-CN"/>
        </w:rPr>
        <w:t>.</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b/>
          <w:bCs w:val="0"/>
          <w:i/>
          <w:iCs w:val="0"/>
          <w:highlight w:val="none"/>
          <w:lang w:val="en-US" w:eastAsia="zh-CN"/>
        </w:rPr>
      </w:pPr>
      <w:r>
        <w:rPr>
          <w:rFonts w:hint="eastAsia"/>
          <w:b/>
          <w:bCs w:val="0"/>
          <w:i/>
          <w:iCs w:val="0"/>
          <w:highlight w:val="none"/>
          <w:lang w:val="en-US" w:eastAsia="zh-CN"/>
        </w:rPr>
        <w:t xml:space="preserve">: For Rel-19 Type-I SP, eType-II, and FeType-II PS CB, the legacy </w:t>
      </w:r>
      <m:oMath>
        <m:sSub>
          <m:sSubPr>
            <m:ctrlPr>
              <w:rPr>
                <w:rFonts w:ascii="Cambria Math" w:hAnsi="Cambria Math"/>
                <w:b/>
                <w:bCs/>
                <w:i/>
                <w:color w:val="auto"/>
                <w:highlight w:val="none"/>
              </w:rPr>
            </m:ctrlPr>
          </m:sSubPr>
          <m:e>
            <m:r>
              <m:rPr>
                <m:sty m:val="bi"/>
              </m:rPr>
              <w:rPr>
                <w:rFonts w:hint="default" w:ascii="Cambria Math" w:hAnsi="Cambria Math"/>
                <w:color w:val="auto"/>
                <w:highlight w:val="none"/>
              </w:rPr>
              <m:t>O</m:t>
            </m:r>
            <m:ctrlPr>
              <w:rPr>
                <w:rFonts w:ascii="Cambria Math" w:hAnsi="Cambria Math"/>
                <w:b/>
                <w:bCs/>
                <w:i/>
                <w:color w:val="auto"/>
                <w:highlight w:val="none"/>
              </w:rPr>
            </m:ctrlPr>
          </m:e>
          <m:sub>
            <m:r>
              <m:rPr>
                <m:sty m:val="bi"/>
              </m:rPr>
              <w:rPr>
                <w:rFonts w:hint="default" w:ascii="Cambria Math" w:hAnsi="Cambria Math"/>
                <w:color w:val="auto"/>
                <w:highlight w:val="none"/>
              </w:rPr>
              <m:t>CPU</m:t>
            </m:r>
            <m:ctrlPr>
              <w:rPr>
                <w:rFonts w:ascii="Cambria Math" w:hAnsi="Cambria Math"/>
                <w:b/>
                <w:bCs/>
                <w:i/>
                <w:color w:val="auto"/>
                <w:highlight w:val="none"/>
              </w:rPr>
            </m:ctrlPr>
          </m:sub>
        </m:sSub>
      </m:oMath>
      <w:r>
        <w:rPr>
          <w:rFonts w:hint="eastAsia" w:hAnsi="Cambria Math"/>
          <w:b/>
          <w:bCs/>
          <w:i/>
          <w:color w:val="auto"/>
          <w:highlight w:val="none"/>
          <w:lang w:val="en-US" w:eastAsia="zh-CN"/>
        </w:rPr>
        <w:t>=</w:t>
      </w:r>
      <m:oMath>
        <m:r>
          <m:rPr>
            <m:sty m:val="bi"/>
          </m:rPr>
          <w:rPr>
            <w:rFonts w:hint="default" w:ascii="Cambria Math" w:hAnsi="Cambria Math"/>
            <w:color w:val="auto"/>
            <w:highlight w:val="none"/>
          </w:rPr>
          <m:t>K</m:t>
        </m:r>
      </m:oMath>
      <w:r>
        <w:rPr>
          <w:rFonts w:hint="eastAsia" w:hAnsi="Cambria Math"/>
          <w:i/>
          <w:color w:val="auto"/>
          <w:highlight w:val="none"/>
          <w:lang w:val="en-US" w:eastAsia="zh-CN"/>
        </w:rPr>
        <w:t xml:space="preserve"> can be reused. </w:t>
      </w:r>
    </w:p>
    <w:p>
      <w:pPr>
        <w:pStyle w:val="90"/>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b/>
          <w:bCs w:val="0"/>
          <w:i/>
          <w:iCs w:val="0"/>
          <w:highlight w:val="none"/>
          <w:lang w:val="en-US" w:eastAsia="zh-CN"/>
        </w:rPr>
      </w:pPr>
    </w:p>
    <w:p>
      <w:pPr>
        <w:pStyle w:val="2"/>
        <w:rPr>
          <w:kern w:val="2"/>
          <w:lang w:eastAsia="zh-CN"/>
        </w:rPr>
      </w:pPr>
      <w:r>
        <w:rPr>
          <w:rFonts w:hint="eastAsia" w:ascii="Times New Roman" w:hAnsi="Times New Roman" w:eastAsia="宋体" w:cs="Times New Roman"/>
          <w:kern w:val="2"/>
          <w:lang w:val="en-US" w:eastAsia="zh-CN"/>
        </w:rPr>
        <w:t>CRI-based CSI reporting refinement</w:t>
      </w:r>
    </w:p>
    <w:p>
      <w:pPr>
        <w:pStyle w:val="3"/>
        <w:bidi w:val="0"/>
        <w:rPr>
          <w:rFonts w:hint="default"/>
          <w:lang w:val="en-US" w:eastAsia="zh-CN"/>
        </w:rPr>
      </w:pPr>
      <w:r>
        <w:rPr>
          <w:rFonts w:hint="eastAsia"/>
          <w:lang w:val="en-US" w:eastAsia="zh-CN"/>
        </w:rPr>
        <w:t xml:space="preserve">CRI reporting </w:t>
      </w:r>
    </w:p>
    <w:p>
      <w:pPr>
        <w:rPr>
          <w:rFonts w:hint="default"/>
          <w:lang w:val="en-US" w:eastAsia="zh-CN"/>
        </w:rPr>
      </w:pPr>
      <w:r>
        <w:rPr>
          <w:rFonts w:hint="eastAsia"/>
          <w:lang w:val="en-US" w:eastAsia="zh-CN"/>
        </w:rPr>
        <w:t xml:space="preserve">In the lasting meeting, the following agreement is achieved for CRI reporting </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vMerge w:val="restart"/>
          </w:tcPr>
          <w:p>
            <w:pPr>
              <w:widowControl w:val="0"/>
              <w:adjustRightInd w:val="0"/>
              <w:snapToGrid w:val="0"/>
              <w:rPr>
                <w:b/>
                <w:bCs/>
                <w:szCs w:val="20"/>
                <w:highlight w:val="green"/>
                <w:lang w:eastAsia="zh-CN"/>
              </w:rPr>
            </w:pPr>
            <w:r>
              <w:rPr>
                <w:b/>
                <w:bCs/>
                <w:szCs w:val="20"/>
                <w:highlight w:val="green"/>
                <w:lang w:eastAsia="zh-CN"/>
              </w:rPr>
              <w:t>Agreement</w:t>
            </w:r>
          </w:p>
          <w:p>
            <w:pPr>
              <w:widowControl w:val="0"/>
              <w:snapToGrid w:val="0"/>
              <w:rPr>
                <w:iCs/>
                <w:szCs w:val="28"/>
              </w:rPr>
            </w:pPr>
            <w:r>
              <w:rPr>
                <w:szCs w:val="28"/>
              </w:rPr>
              <w:t xml:space="preserve">For the </w:t>
            </w:r>
            <w:r>
              <w:rPr>
                <w:iCs/>
                <w:szCs w:val="28"/>
              </w:rPr>
              <w:t xml:space="preserve">Rel-19 CRI-based CSI refinement for up to 128 CSI-RS ports, </w:t>
            </w:r>
            <w:r>
              <w:rPr>
                <w:iCs/>
                <w:szCs w:val="28"/>
                <w:u w:val="single"/>
              </w:rPr>
              <w:t>for M&gt;1</w:t>
            </w:r>
            <w:r>
              <w:rPr>
                <w:iCs/>
                <w:szCs w:val="28"/>
              </w:rPr>
              <w:t xml:space="preserve">, the M CRIs (each with </w:t>
            </w:r>
            <w:r>
              <w:rPr>
                <w:iCs/>
                <w:szCs w:val="28"/>
              </w:rPr>
              <w:fldChar w:fldCharType="begin"/>
            </w:r>
            <w:r>
              <w:rPr>
                <w:iCs/>
                <w:szCs w:val="28"/>
              </w:rPr>
              <w:instrText xml:space="preserve"> QUOTE </w:instrText>
            </w:r>
            <w:r>
              <w:rPr>
                <w:position w:val="-5"/>
              </w:rPr>
              <w:pict>
                <v:shape id="_x0000_i1027"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quot;/&gt;&lt;m:endChr m:val=&quot;⌉&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Cs/>
                <w:szCs w:val="28"/>
              </w:rPr>
              <w:instrText xml:space="preserve"> </w:instrText>
            </w:r>
            <w:r>
              <w:rPr>
                <w:iCs/>
                <w:szCs w:val="28"/>
              </w:rPr>
              <w:fldChar w:fldCharType="separate"/>
            </w:r>
            <w:r>
              <w:rPr>
                <w:position w:val="-5"/>
              </w:rPr>
              <w:pict>
                <v:shape id="_x0000_i1028" o:spt="75" type="#_x0000_t75" style="height:12pt;width: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67A1E&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C67A1E&quot; wsp:rsidRDefault=&quot;00C67A1E&quot; wsp:rsidP=&quot;00C67A1E&quot;&gt;&lt;m:oMathPara&gt;&lt;m:oMath&gt;&lt;m:d&gt;&lt;m:dPr&gt;&lt;m:begChr m:val=&quot;⌈&quot;/&gt;&lt;m:endChr m:val=&quot;⌉&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iCs/>
                <w:szCs w:val="28"/>
              </w:rPr>
              <w:fldChar w:fldCharType="end"/>
            </w:r>
            <w:r>
              <w:rPr>
                <w:iCs/>
                <w:szCs w:val="28"/>
              </w:rPr>
              <w:t xml:space="preserve"> bits) are separated indicated </w:t>
            </w:r>
          </w:p>
          <w:p>
            <w:pPr>
              <w:pStyle w:val="43"/>
              <w:widowControl w:val="0"/>
              <w:numPr>
                <w:ilvl w:val="0"/>
                <w:numId w:val="8"/>
              </w:numPr>
              <w:snapToGrid w:val="0"/>
              <w:ind w:leftChars="0"/>
              <w:rPr>
                <w:iCs/>
                <w:szCs w:val="28"/>
              </w:rPr>
            </w:pPr>
            <w:r>
              <w:rPr>
                <w:szCs w:val="28"/>
              </w:rPr>
              <w:t xml:space="preserve">FFS: whether to support NW configuring/requesting the UE to report CRI/RI/PMI/CQI associated with </w:t>
            </w:r>
            <w:bookmarkStart w:id="14" w:name="OLE_LINK11"/>
            <w:r>
              <w:rPr>
                <w:i/>
                <w:szCs w:val="28"/>
              </w:rPr>
              <w:t>M</w:t>
            </w:r>
            <w:r>
              <w:rPr>
                <w:i/>
                <w:szCs w:val="28"/>
                <w:vertAlign w:val="subscript"/>
              </w:rPr>
              <w:t>R</w:t>
            </w:r>
            <w:r>
              <w:rPr>
                <w:szCs w:val="28"/>
              </w:rPr>
              <w:t xml:space="preserve"> (&lt;</w:t>
            </w:r>
            <w:r>
              <w:rPr>
                <w:i/>
                <w:szCs w:val="28"/>
              </w:rPr>
              <w:t>M</w:t>
            </w:r>
            <w:r>
              <w:rPr>
                <w:szCs w:val="28"/>
              </w:rPr>
              <w:t xml:space="preserve">) of </w:t>
            </w:r>
            <w:r>
              <w:rPr>
                <w:i/>
                <w:szCs w:val="28"/>
              </w:rPr>
              <w:t>K</w:t>
            </w:r>
            <w:r>
              <w:rPr>
                <w:i/>
                <w:szCs w:val="28"/>
                <w:vertAlign w:val="subscript"/>
              </w:rPr>
              <w:t>S</w:t>
            </w:r>
            <w:r>
              <w:rPr>
                <w:szCs w:val="28"/>
              </w:rPr>
              <w:t xml:space="preserve"> CSI-RS resources, </w:t>
            </w:r>
            <w:bookmarkEnd w:id="14"/>
            <w:r>
              <w:rPr>
                <w:szCs w:val="28"/>
              </w:rPr>
              <w:t>including whether further reduction in the number of hypotheses is supported, i.e. reporting (</w:t>
            </w:r>
            <w:r>
              <w:rPr>
                <w:i/>
                <w:iCs/>
                <w:szCs w:val="28"/>
              </w:rPr>
              <w:t>M</w:t>
            </w:r>
            <w:r>
              <w:rPr>
                <w:iCs/>
                <w:szCs w:val="28"/>
              </w:rPr>
              <w:t xml:space="preserve"> – </w:t>
            </w:r>
            <w:r>
              <w:rPr>
                <w:i/>
                <w:iCs/>
                <w:szCs w:val="28"/>
              </w:rPr>
              <w:t>M</w:t>
            </w:r>
            <w:r>
              <w:rPr>
                <w:i/>
                <w:iCs/>
                <w:szCs w:val="28"/>
                <w:vertAlign w:val="subscript"/>
              </w:rPr>
              <w:t>R</w:t>
            </w:r>
            <w:r>
              <w:rPr>
                <w:iCs/>
                <w:szCs w:val="28"/>
              </w:rPr>
              <w:t xml:space="preserve">) CRIs (each with </w:t>
            </w:r>
            <w:r>
              <w:rPr>
                <w:iCs/>
                <w:szCs w:val="28"/>
              </w:rPr>
              <w:fldChar w:fldCharType="begin"/>
            </w:r>
            <w:r>
              <w:rPr>
                <w:iCs/>
                <w:szCs w:val="28"/>
              </w:rPr>
              <w:instrText xml:space="preserve"> QUOTE </w:instrText>
            </w:r>
            <w:r>
              <w:rPr>
                <w:position w:val="-5"/>
              </w:rPr>
              <w:pict>
                <v:shape id="_x0000_i1029" o:spt="75" type="#_x0000_t75" style="height:12pt;width:69.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quot;/&gt;&lt;m:endChr m:val=&quot;⌉&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Cs/>
                <w:szCs w:val="28"/>
              </w:rPr>
              <w:instrText xml:space="preserve"> </w:instrText>
            </w:r>
            <w:r>
              <w:rPr>
                <w:iCs/>
                <w:szCs w:val="28"/>
              </w:rPr>
              <w:fldChar w:fldCharType="separate"/>
            </w:r>
            <w:r>
              <w:rPr>
                <w:position w:val="-5"/>
              </w:rPr>
              <w:pict>
                <v:shape id="_x0000_i1030" o:spt="75" type="#_x0000_t75" style="height:12pt;width:69.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4AF&quot;/&gt;&lt;wsp:rsid wsp:val=&quot;000049DC&quot;/&gt;&lt;wsp:rsid wsp:val=&quot;00006E91&quot;/&gt;&lt;wsp:rsid wsp:val=&quot;0001459F&quot;/&gt;&lt;wsp:rsid wsp:val=&quot;00014DC2&quot;/&gt;&lt;wsp:rsid wsp:val=&quot;000154E8&quot;/&gt;&lt;wsp:rsid wsp:val=&quot;0001584E&quot;/&gt;&lt;wsp:rsid wsp:val=&quot;00016171&quot;/&gt;&lt;wsp:rsid wsp:val=&quot;000206F5&quot;/&gt;&lt;wsp:rsid wsp:val=&quot;000215FA&quot;/&gt;&lt;wsp:rsid wsp:val=&quot;00021963&quot;/&gt;&lt;wsp:rsid wsp:val=&quot;00021A46&quot;/&gt;&lt;wsp:rsid wsp:val=&quot;00027418&quot;/&gt;&lt;wsp:rsid wsp:val=&quot;00030A87&quot;/&gt;&lt;wsp:rsid wsp:val=&quot;00030AFF&quot;/&gt;&lt;wsp:rsid wsp:val=&quot;00032D66&quot;/&gt;&lt;wsp:rsid wsp:val=&quot;00035C3D&quot;/&gt;&lt;wsp:rsid wsp:val=&quot;00041A46&quot;/&gt;&lt;wsp:rsid wsp:val=&quot;00041FB7&quot;/&gt;&lt;wsp:rsid wsp:val=&quot;000443F7&quot;/&gt;&lt;wsp:rsid wsp:val=&quot;0005011F&quot;/&gt;&lt;wsp:rsid wsp:val=&quot;00052672&quot;/&gt;&lt;wsp:rsid wsp:val=&quot;000527DB&quot;/&gt;&lt;wsp:rsid wsp:val=&quot;00052ACE&quot;/&gt;&lt;wsp:rsid wsp:val=&quot;00053611&quot;/&gt;&lt;wsp:rsid wsp:val=&quot;00054572&quot;/&gt;&lt;wsp:rsid wsp:val=&quot;00054DD5&quot;/&gt;&lt;wsp:rsid wsp:val=&quot;00055522&quot;/&gt;&lt;wsp:rsid wsp:val=&quot;00056C17&quot;/&gt;&lt;wsp:rsid wsp:val=&quot;00060542&quot;/&gt;&lt;wsp:rsid wsp:val=&quot;000605DA&quot;/&gt;&lt;wsp:rsid wsp:val=&quot;000607A7&quot;/&gt;&lt;wsp:rsid wsp:val=&quot;00060C6D&quot;/&gt;&lt;wsp:rsid wsp:val=&quot;00067882&quot;/&gt;&lt;wsp:rsid wsp:val=&quot;00070E52&quot;/&gt;&lt;wsp:rsid wsp:val=&quot;00073C45&quot;/&gt;&lt;wsp:rsid wsp:val=&quot;00074A3E&quot;/&gt;&lt;wsp:rsid wsp:val=&quot;00076C50&quot;/&gt;&lt;wsp:rsid wsp:val=&quot;000776CF&quot;/&gt;&lt;wsp:rsid wsp:val=&quot;000809D1&quot;/&gt;&lt;wsp:rsid wsp:val=&quot;000845D8&quot;/&gt;&lt;wsp:rsid wsp:val=&quot;000846FA&quot;/&gt;&lt;wsp:rsid wsp:val=&quot;00084952&quot;/&gt;&lt;wsp:rsid wsp:val=&quot;00085529&quot;/&gt;&lt;wsp:rsid wsp:val=&quot;0009101F&quot;/&gt;&lt;wsp:rsid wsp:val=&quot;000939F4&quot;/&gt;&lt;wsp:rsid wsp:val=&quot;000A028B&quot;/&gt;&lt;wsp:rsid wsp:val=&quot;000A0641&quot;/&gt;&lt;wsp:rsid wsp:val=&quot;000A5C25&quot;/&gt;&lt;wsp:rsid wsp:val=&quot;000B35C7&quot;/&gt;&lt;wsp:rsid wsp:val=&quot;000B3CBE&quot;/&gt;&lt;wsp:rsid wsp:val=&quot;000B4937&quot;/&gt;&lt;wsp:rsid wsp:val=&quot;000B4CC6&quot;/&gt;&lt;wsp:rsid wsp:val=&quot;000B6706&quot;/&gt;&lt;wsp:rsid wsp:val=&quot;000C1DF6&quot;/&gt;&lt;wsp:rsid wsp:val=&quot;000C256E&quot;/&gt;&lt;wsp:rsid wsp:val=&quot;000C401F&quot;/&gt;&lt;wsp:rsid wsp:val=&quot;000C47DE&quot;/&gt;&lt;wsp:rsid wsp:val=&quot;000C4860&quot;/&gt;&lt;wsp:rsid wsp:val=&quot;000C581D&quot;/&gt;&lt;wsp:rsid wsp:val=&quot;000C748B&quot;/&gt;&lt;wsp:rsid wsp:val=&quot;000C74E2&quot;/&gt;&lt;wsp:rsid wsp:val=&quot;000D241E&quot;/&gt;&lt;wsp:rsid wsp:val=&quot;000D242E&quot;/&gt;&lt;wsp:rsid wsp:val=&quot;000D698F&quot;/&gt;&lt;wsp:rsid wsp:val=&quot;000E0E2F&quot;/&gt;&lt;wsp:rsid wsp:val=&quot;000E1225&quot;/&gt;&lt;wsp:rsid wsp:val=&quot;000E162A&quot;/&gt;&lt;wsp:rsid wsp:val=&quot;000E30EE&quot;/&gt;&lt;wsp:rsid wsp:val=&quot;000E474A&quot;/&gt;&lt;wsp:rsid wsp:val=&quot;000E5A33&quot;/&gt;&lt;wsp:rsid wsp:val=&quot;000E5BCB&quot;/&gt;&lt;wsp:rsid wsp:val=&quot;000E67A5&quot;/&gt;&lt;wsp:rsid wsp:val=&quot;000F06DE&quot;/&gt;&lt;wsp:rsid wsp:val=&quot;0010080A&quot;/&gt;&lt;wsp:rsid wsp:val=&quot;001018D5&quot;/&gt;&lt;wsp:rsid wsp:val=&quot;0010230E&quot;/&gt;&lt;wsp:rsid wsp:val=&quot;00105C24&quot;/&gt;&lt;wsp:rsid wsp:val=&quot;00111908&quot;/&gt;&lt;wsp:rsid wsp:val=&quot;00114160&quot;/&gt;&lt;wsp:rsid wsp:val=&quot;00114F16&quot;/&gt;&lt;wsp:rsid wsp:val=&quot;00116133&quot;/&gt;&lt;wsp:rsid wsp:val=&quot;00120884&quot;/&gt;&lt;wsp:rsid wsp:val=&quot;00126559&quot;/&gt;&lt;wsp:rsid wsp:val=&quot;001274B4&quot;/&gt;&lt;wsp:rsid wsp:val=&quot;00130389&quot;/&gt;&lt;wsp:rsid wsp:val=&quot;00131CB0&quot;/&gt;&lt;wsp:rsid wsp:val=&quot;00132CBE&quot;/&gt;&lt;wsp:rsid wsp:val=&quot;00135DF2&quot;/&gt;&lt;wsp:rsid wsp:val=&quot;001374BD&quot;/&gt;&lt;wsp:rsid wsp:val=&quot;001376F6&quot;/&gt;&lt;wsp:rsid wsp:val=&quot;001450EC&quot;/&gt;&lt;wsp:rsid wsp:val=&quot;00146D61&quot;/&gt;&lt;wsp:rsid wsp:val=&quot;00150036&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5A88&quot;/&gt;&lt;wsp:rsid wsp:val=&quot;00186520&quot;/&gt;&lt;wsp:rsid wsp:val=&quot;00191AC9&quot;/&gt;&lt;wsp:rsid wsp:val=&quot;0019426E&quot;/&gt;&lt;wsp:rsid wsp:val=&quot;00196C7A&quot;/&gt;&lt;wsp:rsid wsp:val=&quot;001A235A&quot;/&gt;&lt;wsp:rsid wsp:val=&quot;001A3FB4&quot;/&gt;&lt;wsp:rsid wsp:val=&quot;001A7E06&quot;/&gt;&lt;wsp:rsid wsp:val=&quot;001B008D&quot;/&gt;&lt;wsp:rsid wsp:val=&quot;001B3F4E&quot;/&gt;&lt;wsp:rsid wsp:val=&quot;001C0BAC&quot;/&gt;&lt;wsp:rsid wsp:val=&quot;001C12B4&quot;/&gt;&lt;wsp:rsid wsp:val=&quot;001C3879&quot;/&gt;&lt;wsp:rsid wsp:val=&quot;001C40D9&quot;/&gt;&lt;wsp:rsid wsp:val=&quot;001C5621&quot;/&gt;&lt;wsp:rsid wsp:val=&quot;001C74BE&quot;/&gt;&lt;wsp:rsid wsp:val=&quot;001D150F&quot;/&gt;&lt;wsp:rsid wsp:val=&quot;001D2B0C&quot;/&gt;&lt;wsp:rsid wsp:val=&quot;001D41B7&quot;/&gt;&lt;wsp:rsid wsp:val=&quot;001D52A5&quot;/&gt;&lt;wsp:rsid wsp:val=&quot;001D6BCE&quot;/&gt;&lt;wsp:rsid wsp:val=&quot;001D6F38&quot;/&gt;&lt;wsp:rsid wsp:val=&quot;001D7AE8&quot;/&gt;&lt;wsp:rsid wsp:val=&quot;001E0A71&quot;/&gt;&lt;wsp:rsid wsp:val=&quot;001E1F8C&quot;/&gt;&lt;wsp:rsid wsp:val=&quot;001E358A&quot;/&gt;&lt;wsp:rsid wsp:val=&quot;001F05DC&quot;/&gt;&lt;wsp:rsid wsp:val=&quot;001F0B04&quot;/&gt;&lt;wsp:rsid wsp:val=&quot;001F20E5&quot;/&gt;&lt;wsp:rsid wsp:val=&quot;001F2C8F&quot;/&gt;&lt;wsp:rsid wsp:val=&quot;001F3669&quot;/&gt;&lt;wsp:rsid wsp:val=&quot;001F37C1&quot;/&gt;&lt;wsp:rsid wsp:val=&quot;001F4248&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0A66&quot;/&gt;&lt;wsp:rsid wsp:val=&quot;00220B00&quot;/&gt;&lt;wsp:rsid wsp:val=&quot;00221E20&quot;/&gt;&lt;wsp:rsid wsp:val=&quot;00222232&quot;/&gt;&lt;wsp:rsid wsp:val=&quot;00225933&quot;/&gt;&lt;wsp:rsid wsp:val=&quot;00225EB9&quot;/&gt;&lt;wsp:rsid wsp:val=&quot;002314EA&quot;/&gt;&lt;wsp:rsid wsp:val=&quot;002318A4&quot;/&gt;&lt;wsp:rsid wsp:val=&quot;00232AB7&quot;/&gt;&lt;wsp:rsid wsp:val=&quot;00236835&quot;/&gt;&lt;wsp:rsid wsp:val=&quot;00237671&quot;/&gt;&lt;wsp:rsid wsp:val=&quot;002403C8&quot;/&gt;&lt;wsp:rsid wsp:val=&quot;00241387&quot;/&gt;&lt;wsp:rsid wsp:val=&quot;002418CB&quot;/&gt;&lt;wsp:rsid wsp:val=&quot;00244E1B&quot;/&gt;&lt;wsp:rsid wsp:val=&quot;00246843&quot;/&gt;&lt;wsp:rsid wsp:val=&quot;00246C5D&quot;/&gt;&lt;wsp:rsid wsp:val=&quot;00247352&quot;/&gt;&lt;wsp:rsid wsp:val=&quot;00247983&quot;/&gt;&lt;wsp:rsid wsp:val=&quot;00250319&quot;/&gt;&lt;wsp:rsid wsp:val=&quot;0025116B&quot;/&gt;&lt;wsp:rsid wsp:val=&quot;00251A50&quot;/&gt;&lt;wsp:rsid wsp:val=&quot;002526D0&quot;/&gt;&lt;wsp:rsid wsp:val=&quot;0025466B&quot;/&gt;&lt;wsp:rsid wsp:val=&quot;00254F12&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40A&quot;/&gt;&lt;wsp:rsid wsp:val=&quot;00274937&quot;/&gt;&lt;wsp:rsid wsp:val=&quot;00277FBD&quot;/&gt;&lt;wsp:rsid wsp:val=&quot;00280584&quot;/&gt;&lt;wsp:rsid wsp:val=&quot;00282066&quot;/&gt;&lt;wsp:rsid wsp:val=&quot;00282E2C&quot;/&gt;&lt;wsp:rsid wsp:val=&quot;00284717&quot;/&gt;&lt;wsp:rsid wsp:val=&quot;00291BF5&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31F&quot;/&gt;&lt;wsp:rsid wsp:val=&quot;002B544D&quot;/&gt;&lt;wsp:rsid wsp:val=&quot;002B60FD&quot;/&gt;&lt;wsp:rsid wsp:val=&quot;002B64F7&quot;/&gt;&lt;wsp:rsid wsp:val=&quot;002B6E04&quot;/&gt;&lt;wsp:rsid wsp:val=&quot;002B6E21&quot;/&gt;&lt;wsp:rsid wsp:val=&quot;002C1064&quot;/&gt;&lt;wsp:rsid wsp:val=&quot;002C1A38&quot;/&gt;&lt;wsp:rsid wsp:val=&quot;002C2567&quot;/&gt;&lt;wsp:rsid wsp:val=&quot;002C3BE0&quot;/&gt;&lt;wsp:rsid wsp:val=&quot;002C450D&quot;/&gt;&lt;wsp:rsid wsp:val=&quot;002C5DF1&quot;/&gt;&lt;wsp:rsid wsp:val=&quot;002C6BC0&quot;/&gt;&lt;wsp:rsid wsp:val=&quot;002C7702&quot;/&gt;&lt;wsp:rsid wsp:val=&quot;002D0410&quot;/&gt;&lt;wsp:rsid wsp:val=&quot;002D1A27&quot;/&gt;&lt;wsp:rsid wsp:val=&quot;002D2364&quot;/&gt;&lt;wsp:rsid wsp:val=&quot;002D4BCC&quot;/&gt;&lt;wsp:rsid wsp:val=&quot;002D4D40&quot;/&gt;&lt;wsp:rsid wsp:val=&quot;002D5218&quot;/&gt;&lt;wsp:rsid wsp:val=&quot;002E1DF6&quot;/&gt;&lt;wsp:rsid wsp:val=&quot;002E3311&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34F8A&quot;/&gt;&lt;wsp:rsid wsp:val=&quot;00343017&quot;/&gt;&lt;wsp:rsid wsp:val=&quot;00343A55&quot;/&gt;&lt;wsp:rsid wsp:val=&quot;00345EEA&quot;/&gt;&lt;wsp:rsid wsp:val=&quot;003521DB&quot;/&gt;&lt;wsp:rsid wsp:val=&quot;003544C1&quot;/&gt;&lt;wsp:rsid wsp:val=&quot;00356A55&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2ED&quot;/&gt;&lt;wsp:rsid wsp:val=&quot;00367EA1&quot;/&gt;&lt;wsp:rsid wsp:val=&quot;0037144A&quot;/&gt;&lt;wsp:rsid wsp:val=&quot;00371B1E&quot;/&gt;&lt;wsp:rsid wsp:val=&quot;0037212B&quot;/&gt;&lt;wsp:rsid wsp:val=&quot;00373044&quot;/&gt;&lt;wsp:rsid wsp:val=&quot;003734D3&quot;/&gt;&lt;wsp:rsid wsp:val=&quot;0037636D&quot;/&gt;&lt;wsp:rsid wsp:val=&quot;00376B7B&quot;/&gt;&lt;wsp:rsid wsp:val=&quot;0037772F&quot;/&gt;&lt;wsp:rsid wsp:val=&quot;00377C65&quot;/&gt;&lt;wsp:rsid wsp:val=&quot;003805D1&quot;/&gt;&lt;wsp:rsid wsp:val=&quot;00382427&quot;/&gt;&lt;wsp:rsid wsp:val=&quot;00382901&quot;/&gt;&lt;wsp:rsid wsp:val=&quot;00386A79&quot;/&gt;&lt;wsp:rsid wsp:val=&quot;00387499&quot;/&gt;&lt;wsp:rsid wsp:val=&quot;00390356&quot;/&gt;&lt;wsp:rsid wsp:val=&quot;00390B6E&quot;/&gt;&lt;wsp:rsid wsp:val=&quot;00391B3E&quot;/&gt;&lt;wsp:rsid wsp:val=&quot;00391D63&quot;/&gt;&lt;wsp:rsid wsp:val=&quot;00392A3A&quot;/&gt;&lt;wsp:rsid wsp:val=&quot;00393690&quot;/&gt;&lt;wsp:rsid wsp:val=&quot;00394AC8&quot;/&gt;&lt;wsp:rsid wsp:val=&quot;003957ED&quot;/&gt;&lt;wsp:rsid wsp:val=&quot;00397A6D&quot;/&gt;&lt;wsp:rsid wsp:val=&quot;003A135F&quot;/&gt;&lt;wsp:rsid wsp:val=&quot;003A4607&quot;/&gt;&lt;wsp:rsid wsp:val=&quot;003A7732&quot;/&gt;&lt;wsp:rsid wsp:val=&quot;003B0BF8&quot;/&gt;&lt;wsp:rsid wsp:val=&quot;003B3DC0&quot;/&gt;&lt;wsp:rsid wsp:val=&quot;003B6548&quot;/&gt;&lt;wsp:rsid wsp:val=&quot;003C2C18&quot;/&gt;&lt;wsp:rsid wsp:val=&quot;003C3033&quot;/&gt;&lt;wsp:rsid wsp:val=&quot;003C4584&quot;/&gt;&lt;wsp:rsid wsp:val=&quot;003C4EAC&quot;/&gt;&lt;wsp:rsid wsp:val=&quot;003D1C8D&quot;/&gt;&lt;wsp:rsid wsp:val=&quot;003D20FC&quot;/&gt;&lt;wsp:rsid wsp:val=&quot;003D33A8&quot;/&gt;&lt;wsp:rsid wsp:val=&quot;003D7BDA&quot;/&gt;&lt;wsp:rsid wsp:val=&quot;003E0305&quot;/&gt;&lt;wsp:rsid wsp:val=&quot;003E04E9&quot;/&gt;&lt;wsp:rsid wsp:val=&quot;003E35DC&quot;/&gt;&lt;wsp:rsid wsp:val=&quot;003E6A3A&quot;/&gt;&lt;wsp:rsid wsp:val=&quot;003E7642&quot;/&gt;&lt;wsp:rsid wsp:val=&quot;003F06EF&quot;/&gt;&lt;wsp:rsid wsp:val=&quot;003F4797&quot;/&gt;&lt;wsp:rsid wsp:val=&quot;003F47B5&quot;/&gt;&lt;wsp:rsid wsp:val=&quot;003F6838&quot;/&gt;&lt;wsp:rsid wsp:val=&quot;003F7A05&quot;/&gt;&lt;wsp:rsid wsp:val=&quot;004003E8&quot;/&gt;&lt;wsp:rsid wsp:val=&quot;0040222B&quot;/&gt;&lt;wsp:rsid wsp:val=&quot;004022CC&quot;/&gt;&lt;wsp:rsid wsp:val=&quot;00403018&quot;/&gt;&lt;wsp:rsid wsp:val=&quot;0040305C&quot;/&gt;&lt;wsp:rsid wsp:val=&quot;00403FCF&quot;/&gt;&lt;wsp:rsid wsp:val=&quot;004058AD&quot;/&gt;&lt;wsp:rsid wsp:val=&quot;004109C3&quot;/&gt;&lt;wsp:rsid wsp:val=&quot;00414181&quot;/&gt;&lt;wsp:rsid wsp:val=&quot;00414CBB&quot;/&gt;&lt;wsp:rsid wsp:val=&quot;0041782C&quot;/&gt;&lt;wsp:rsid wsp:val=&quot;004206FA&quot;/&gt;&lt;wsp:rsid wsp:val=&quot;004213CE&quot;/&gt;&lt;wsp:rsid wsp:val=&quot;004223F1&quot;/&gt;&lt;wsp:rsid wsp:val=&quot;0042304F&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44FB6&quot;/&gt;&lt;wsp:rsid wsp:val=&quot;00451D41&quot;/&gt;&lt;wsp:rsid wsp:val=&quot;00452710&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3EF5&quot;/&gt;&lt;wsp:rsid wsp:val=&quot;00474298&quot;/&gt;&lt;wsp:rsid wsp:val=&quot;0048214B&quot;/&gt;&lt;wsp:rsid wsp:val=&quot;004826E7&quot;/&gt;&lt;wsp:rsid wsp:val=&quot;00483DE2&quot;/&gt;&lt;wsp:rsid wsp:val=&quot;00485D52&quot;/&gt;&lt;wsp:rsid wsp:val=&quot;0049013E&quot;/&gt;&lt;wsp:rsid wsp:val=&quot;004902E0&quot;/&gt;&lt;wsp:rsid wsp:val=&quot;00490947&quot;/&gt;&lt;wsp:rsid wsp:val=&quot;004910AC&quot;/&gt;&lt;wsp:rsid wsp:val=&quot;00491D0B&quot;/&gt;&lt;wsp:rsid wsp:val=&quot;004945F3&quot;/&gt;&lt;wsp:rsid wsp:val=&quot;004952EA&quot;/&gt;&lt;wsp:rsid wsp:val=&quot;00496792&quot;/&gt;&lt;wsp:rsid wsp:val=&quot;0049720B&quot;/&gt;&lt;wsp:rsid wsp:val=&quot;00497975&quot;/&gt;&lt;wsp:rsid wsp:val=&quot;004A1B0B&quot;/&gt;&lt;wsp:rsid wsp:val=&quot;004A2F9D&quot;/&gt;&lt;wsp:rsid wsp:val=&quot;004A33FF&quot;/&gt;&lt;wsp:rsid wsp:val=&quot;004A5042&quot;/&gt;&lt;wsp:rsid wsp:val=&quot;004A5270&quot;/&gt;&lt;wsp:rsid wsp:val=&quot;004B1BEE&quot;/&gt;&lt;wsp:rsid wsp:val=&quot;004C12CB&quot;/&gt;&lt;wsp:rsid wsp:val=&quot;004C20CB&quot;/&gt;&lt;wsp:rsid wsp:val=&quot;004C2920&quot;/&gt;&lt;wsp:rsid wsp:val=&quot;004C431C&quot;/&gt;&lt;wsp:rsid wsp:val=&quot;004C5181&quot;/&gt;&lt;wsp:rsid wsp:val=&quot;004C5203&quot;/&gt;&lt;wsp:rsid wsp:val=&quot;004C6C1E&quot;/&gt;&lt;wsp:rsid wsp:val=&quot;004C7A79&quot;/&gt;&lt;wsp:rsid wsp:val=&quot;004D1C6D&quot;/&gt;&lt;wsp:rsid wsp:val=&quot;004D297A&quot;/&gt;&lt;wsp:rsid wsp:val=&quot;004D31D3&quot;/&gt;&lt;wsp:rsid wsp:val=&quot;004E14BC&quot;/&gt;&lt;wsp:rsid wsp:val=&quot;004E16CD&quot;/&gt;&lt;wsp:rsid wsp:val=&quot;004E1AAB&quot;/&gt;&lt;wsp:rsid wsp:val=&quot;004E1DF7&quot;/&gt;&lt;wsp:rsid wsp:val=&quot;004E40C3&quot;/&gt;&lt;wsp:rsid wsp:val=&quot;004E4F65&quot;/&gt;&lt;wsp:rsid wsp:val=&quot;004E734C&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16E8C&quot;/&gt;&lt;wsp:rsid wsp:val=&quot;00521FA7&quot;/&gt;&lt;wsp:rsid wsp:val=&quot;005220E4&quot;/&gt;&lt;wsp:rsid wsp:val=&quot;00535E17&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A4D&quot;/&gt;&lt;wsp:rsid wsp:val=&quot;0056006B&quot;/&gt;&lt;wsp:rsid wsp:val=&quot;005634EC&quot;/&gt;&lt;wsp:rsid wsp:val=&quot;0056553C&quot;/&gt;&lt;wsp:rsid wsp:val=&quot;0056693D&quot;/&gt;&lt;wsp:rsid wsp:val=&quot;00570536&quot;/&gt;&lt;wsp:rsid wsp:val=&quot;0057060B&quot;/&gt;&lt;wsp:rsid wsp:val=&quot;00571A20&quot;/&gt;&lt;wsp:rsid wsp:val=&quot;00571B0D&quot;/&gt;&lt;wsp:rsid wsp:val=&quot;00571B80&quot;/&gt;&lt;wsp:rsid wsp:val=&quot;005725FA&quot;/&gt;&lt;wsp:rsid wsp:val=&quot;0057342F&quot;/&gt;&lt;wsp:rsid wsp:val=&quot;005765F4&quot;/&gt;&lt;wsp:rsid wsp:val=&quot;0058449A&quot;/&gt;&lt;wsp:rsid wsp:val=&quot;00585CC3&quot;/&gt;&lt;wsp:rsid wsp:val=&quot;00587DE1&quot;/&gt;&lt;wsp:rsid wsp:val=&quot;00591F23&quot;/&gt;&lt;wsp:rsid wsp:val=&quot;00592F3B&quot;/&gt;&lt;wsp:rsid wsp:val=&quot;005936B6&quot;/&gt;&lt;wsp:rsid wsp:val=&quot;00593A44&quot;/&gt;&lt;wsp:rsid wsp:val=&quot;00593D30&quot;/&gt;&lt;wsp:rsid wsp:val=&quot;0059417F&quot;/&gt;&lt;wsp:rsid wsp:val=&quot;00595848&quot;/&gt;&lt;wsp:rsid wsp:val=&quot;00595B60&quot;/&gt;&lt;wsp:rsid wsp:val=&quot;00595D38&quot;/&gt;&lt;wsp:rsid wsp:val=&quot;005A22A8&quot;/&gt;&lt;wsp:rsid wsp:val=&quot;005B0BB3&quot;/&gt;&lt;wsp:rsid wsp:val=&quot;005B18C2&quot;/&gt;&lt;wsp:rsid wsp:val=&quot;005B1D2C&quot;/&gt;&lt;wsp:rsid wsp:val=&quot;005B25BC&quot;/&gt;&lt;wsp:rsid wsp:val=&quot;005B2683&quot;/&gt;&lt;wsp:rsid wsp:val=&quot;005B303B&quot;/&gt;&lt;wsp:rsid wsp:val=&quot;005B4255&quot;/&gt;&lt;wsp:rsid wsp:val=&quot;005B6D21&quot;/&gt;&lt;wsp:rsid wsp:val=&quot;005B74B2&quot;/&gt;&lt;wsp:rsid wsp:val=&quot;005C3943&quot;/&gt;&lt;wsp:rsid wsp:val=&quot;005C595C&quot;/&gt;&lt;wsp:rsid wsp:val=&quot;005D4467&quot;/&gt;&lt;wsp:rsid wsp:val=&quot;005E1E3F&quot;/&gt;&lt;wsp:rsid wsp:val=&quot;005E4C37&quot;/&gt;&lt;wsp:rsid wsp:val=&quot;005F0505&quot;/&gt;&lt;wsp:rsid wsp:val=&quot;005F1309&quot;/&gt;&lt;wsp:rsid wsp:val=&quot;005F222D&quot;/&gt;&lt;wsp:rsid wsp:val=&quot;005F5757&quot;/&gt;&lt;wsp:rsid wsp:val=&quot;00600CA7&quot;/&gt;&lt;wsp:rsid wsp:val=&quot;0060301B&quot;/&gt;&lt;wsp:rsid wsp:val=&quot;0060331A&quot;/&gt;&lt;wsp:rsid wsp:val=&quot;00603782&quot;/&gt;&lt;wsp:rsid wsp:val=&quot;00603E0B&quot;/&gt;&lt;wsp:rsid wsp:val=&quot;006052F6&quot;/&gt;&lt;wsp:rsid wsp:val=&quot;00606731&quot;/&gt;&lt;wsp:rsid wsp:val=&quot;006103E1&quot;/&gt;&lt;wsp:rsid wsp:val=&quot;0061084A&quot;/&gt;&lt;wsp:rsid wsp:val=&quot;0061190F&quot;/&gt;&lt;wsp:rsid wsp:val=&quot;00613ABD&quot;/&gt;&lt;wsp:rsid wsp:val=&quot;006147B1&quot;/&gt;&lt;wsp:rsid wsp:val=&quot;0061561D&quot;/&gt;&lt;wsp:rsid wsp:val=&quot;006164A4&quot;/&gt;&lt;wsp:rsid wsp:val=&quot;00620EFC&quot;/&gt;&lt;wsp:rsid wsp:val=&quot;00622DB5&quot;/&gt;&lt;wsp:rsid wsp:val=&quot;00623D44&quot;/&gt;&lt;wsp:rsid wsp:val=&quot;0062423E&quot;/&gt;&lt;wsp:rsid wsp:val=&quot;0062486E&quot;/&gt;&lt;wsp:rsid wsp:val=&quot;00624905&quot;/&gt;&lt;wsp:rsid wsp:val=&quot;006309FF&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2640&quot;/&gt;&lt;wsp:rsid wsp:val=&quot;0065303B&quot;/&gt;&lt;wsp:rsid wsp:val=&quot;00655E80&quot;/&gt;&lt;wsp:rsid wsp:val=&quot;00665890&quot;/&gt;&lt;wsp:rsid wsp:val=&quot;00666238&quot;/&gt;&lt;wsp:rsid wsp:val=&quot;0067233C&quot;/&gt;&lt;wsp:rsid wsp:val=&quot;00674C16&quot;/&gt;&lt;wsp:rsid wsp:val=&quot;0067658D&quot;/&gt;&lt;wsp:rsid wsp:val=&quot;00681049&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1E1&quot;/&gt;&lt;wsp:rsid wsp:val=&quot;0069635A&quot;/&gt;&lt;wsp:rsid wsp:val=&quot;006A3605&quot;/&gt;&lt;wsp:rsid wsp:val=&quot;006A65B1&quot;/&gt;&lt;wsp:rsid wsp:val=&quot;006A7CA7&quot;/&gt;&lt;wsp:rsid wsp:val=&quot;006B2A42&quot;/&gt;&lt;wsp:rsid wsp:val=&quot;006B2BBC&quot;/&gt;&lt;wsp:rsid wsp:val=&quot;006B2FA0&quot;/&gt;&lt;wsp:rsid wsp:val=&quot;006B3BB5&quot;/&gt;&lt;wsp:rsid wsp:val=&quot;006B55E3&quot;/&gt;&lt;wsp:rsid wsp:val=&quot;006B57DD&quot;/&gt;&lt;wsp:rsid wsp:val=&quot;006C3D56&quot;/&gt;&lt;wsp:rsid wsp:val=&quot;006C3F49&quot;/&gt;&lt;wsp:rsid wsp:val=&quot;006C50EE&quot;/&gt;&lt;wsp:rsid wsp:val=&quot;006C7A4B&quot;/&gt;&lt;wsp:rsid wsp:val=&quot;006D1DA0&quot;/&gt;&lt;wsp:rsid wsp:val=&quot;006D7A0E&quot;/&gt;&lt;wsp:rsid wsp:val=&quot;006E5673&quot;/&gt;&lt;wsp:rsid wsp:val=&quot;006F02CF&quot;/&gt;&lt;wsp:rsid wsp:val=&quot;006F1592&quot;/&gt;&lt;wsp:rsid wsp:val=&quot;006F4666&quot;/&gt;&lt;wsp:rsid wsp:val=&quot;006F51CB&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07F4&quot;/&gt;&lt;wsp:rsid wsp:val=&quot;00711A4D&quot;/&gt;&lt;wsp:rsid wsp:val=&quot;0071315B&quot;/&gt;&lt;wsp:rsid wsp:val=&quot;00715B4D&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30865&quot;/&gt;&lt;wsp:rsid wsp:val=&quot;007308EC&quot;/&gt;&lt;wsp:rsid wsp:val=&quot;00732D45&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70854&quot;/&gt;&lt;wsp:rsid wsp:val=&quot;0077650B&quot;/&gt;&lt;wsp:rsid wsp:val=&quot;007771B0&quot;/&gt;&lt;wsp:rsid wsp:val=&quot;00777298&quot;/&gt;&lt;wsp:rsid wsp:val=&quot;0078005E&quot;/&gt;&lt;wsp:rsid wsp:val=&quot;00780875&quot;/&gt;&lt;wsp:rsid wsp:val=&quot;0078088F&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5F1A&quot;/&gt;&lt;wsp:rsid wsp:val=&quot;007B7AAC&quot;/&gt;&lt;wsp:rsid wsp:val=&quot;007B7F47&quot;/&gt;&lt;wsp:rsid wsp:val=&quot;007C108C&quot;/&gt;&lt;wsp:rsid wsp:val=&quot;007C2703&quot;/&gt;&lt;wsp:rsid wsp:val=&quot;007C3C20&quot;/&gt;&lt;wsp:rsid wsp:val=&quot;007C6301&quot;/&gt;&lt;wsp:rsid wsp:val=&quot;007D016A&quot;/&gt;&lt;wsp:rsid wsp:val=&quot;007D3B7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6B94&quot;/&gt;&lt;wsp:rsid wsp:val=&quot;00807555&quot;/&gt;&lt;wsp:rsid wsp:val=&quot;00811BB5&quot;/&gt;&lt;wsp:rsid wsp:val=&quot;008120B3&quot;/&gt;&lt;wsp:rsid wsp:val=&quot;00813F2B&quot;/&gt;&lt;wsp:rsid wsp:val=&quot;00817E72&quot;/&gt;&lt;wsp:rsid wsp:val=&quot;00821F2C&quot;/&gt;&lt;wsp:rsid wsp:val=&quot;00826C23&quot;/&gt;&lt;wsp:rsid wsp:val=&quot;00827B33&quot;/&gt;&lt;wsp:rsid wsp:val=&quot;00832C0D&quot;/&gt;&lt;wsp:rsid wsp:val=&quot;00832EF8&quot;/&gt;&lt;wsp:rsid wsp:val=&quot;008376E5&quot;/&gt;&lt;wsp:rsid wsp:val=&quot;0084364F&quot;/&gt;&lt;wsp:rsid wsp:val=&quot;00847B12&quot;/&gt;&lt;wsp:rsid wsp:val=&quot;00853E28&quot;/&gt;&lt;wsp:rsid wsp:val=&quot;008543CB&quot;/&gt;&lt;wsp:rsid wsp:val=&quot;00854556&quot;/&gt;&lt;wsp:rsid wsp:val=&quot;00855E7E&quot;/&gt;&lt;wsp:rsid wsp:val=&quot;0085677D&quot;/&gt;&lt;wsp:rsid wsp:val=&quot;0085793D&quot;/&gt;&lt;wsp:rsid wsp:val=&quot;00864E0E&quot;/&gt;&lt;wsp:rsid wsp:val=&quot;0087282C&quot;/&gt;&lt;wsp:rsid wsp:val=&quot;00873D1D&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2B22&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57F8&quot;/&gt;&lt;wsp:rsid wsp:val=&quot;008F621B&quot;/&gt;&lt;wsp:rsid wsp:val=&quot;008F757B&quot;/&gt;&lt;wsp:rsid wsp:val=&quot;008F7720&quot;/&gt;&lt;wsp:rsid wsp:val=&quot;008F7C25&quot;/&gt;&lt;wsp:rsid wsp:val=&quot;00903EC9&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363C&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2C76&quot;/&gt;&lt;wsp:rsid wsp:val=&quot;0093413E&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20DD&quot;/&gt;&lt;wsp:rsid wsp:val=&quot;009657DE&quot;/&gt;&lt;wsp:rsid wsp:val=&quot;00967661&quot;/&gt;&lt;wsp:rsid wsp:val=&quot;00967CFB&quot;/&gt;&lt;wsp:rsid wsp:val=&quot;0097079E&quot;/&gt;&lt;wsp:rsid wsp:val=&quot;009713A7&quot;/&gt;&lt;wsp:rsid wsp:val=&quot;00973EC8&quot;/&gt;&lt;wsp:rsid wsp:val=&quot;00973F28&quot;/&gt;&lt;wsp:rsid wsp:val=&quot;00973FA2&quot;/&gt;&lt;wsp:rsid wsp:val=&quot;00975EDF&quot;/&gt;&lt;wsp:rsid wsp:val=&quot;009819BA&quot;/&gt;&lt;wsp:rsid wsp:val=&quot;00981D9F&quot;/&gt;&lt;wsp:rsid wsp:val=&quot;0098461A&quot;/&gt;&lt;wsp:rsid wsp:val=&quot;00984A91&quot;/&gt;&lt;wsp:rsid wsp:val=&quot;00985935&quot;/&gt;&lt;wsp:rsid wsp:val=&quot;009952F2&quot;/&gt;&lt;wsp:rsid wsp:val=&quot;009954CA&quot;/&gt;&lt;wsp:rsid wsp:val=&quot;009A029F&quot;/&gt;&lt;wsp:rsid wsp:val=&quot;009A02D8&quot;/&gt;&lt;wsp:rsid wsp:val=&quot;009A48F0&quot;/&gt;&lt;wsp:rsid wsp:val=&quot;009A5A09&quot;/&gt;&lt;wsp:rsid wsp:val=&quot;009A6F45&quot;/&gt;&lt;wsp:rsid wsp:val=&quot;009B1106&quot;/&gt;&lt;wsp:rsid wsp:val=&quot;009B1D77&quot;/&gt;&lt;wsp:rsid wsp:val=&quot;009B1F2D&quot;/&gt;&lt;wsp:rsid wsp:val=&quot;009B64D0&quot;/&gt;&lt;wsp:rsid wsp:val=&quot;009C159F&quot;/&gt;&lt;wsp:rsid wsp:val=&quot;009C2CD7&quot;/&gt;&lt;wsp:rsid wsp:val=&quot;009C3D86&quot;/&gt;&lt;wsp:rsid wsp:val=&quot;009C4B30&quot;/&gt;&lt;wsp:rsid wsp:val=&quot;009C71EC&quot;/&gt;&lt;wsp:rsid wsp:val=&quot;009D0A7F&quot;/&gt;&lt;wsp:rsid wsp:val=&quot;009D11EC&quot;/&gt;&lt;wsp:rsid wsp:val=&quot;009D25E3&quot;/&gt;&lt;wsp:rsid wsp:val=&quot;009D493E&quot;/&gt;&lt;wsp:rsid wsp:val=&quot;009D49BC&quot;/&gt;&lt;wsp:rsid wsp:val=&quot;009E0BBC&quot;/&gt;&lt;wsp:rsid wsp:val=&quot;009E111F&quot;/&gt;&lt;wsp:rsid wsp:val=&quot;009E2926&quot;/&gt;&lt;wsp:rsid wsp:val=&quot;009E2F39&quot;/&gt;&lt;wsp:rsid wsp:val=&quot;009E2FD3&quot;/&gt;&lt;wsp:rsid wsp:val=&quot;009E4019&quot;/&gt;&lt;wsp:rsid wsp:val=&quot;009E45DB&quot;/&gt;&lt;wsp:rsid wsp:val=&quot;009E45E5&quot;/&gt;&lt;wsp:rsid wsp:val=&quot;009E4A2A&quot;/&gt;&lt;wsp:rsid wsp:val=&quot;009E6740&quot;/&gt;&lt;wsp:rsid wsp:val=&quot;009E797F&quot;/&gt;&lt;wsp:rsid wsp:val=&quot;009F020D&quot;/&gt;&lt;wsp:rsid wsp:val=&quot;009F0DC3&quot;/&gt;&lt;wsp:rsid wsp:val=&quot;009F4830&quot;/&gt;&lt;wsp:rsid wsp:val=&quot;009F5D01&quot;/&gt;&lt;wsp:rsid wsp:val=&quot;009F69FB&quot;/&gt;&lt;wsp:rsid wsp:val=&quot;00A0110D&quot;/&gt;&lt;wsp:rsid wsp:val=&quot;00A05EC3&quot;/&gt;&lt;wsp:rsid wsp:val=&quot;00A0702F&quot;/&gt;&lt;wsp:rsid wsp:val=&quot;00A10234&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3A40&quot;/&gt;&lt;wsp:rsid wsp:val=&quot;00A44F87&quot;/&gt;&lt;wsp:rsid wsp:val=&quot;00A453E9&quot;/&gt;&lt;wsp:rsid wsp:val=&quot;00A50048&quot;/&gt;&lt;wsp:rsid wsp:val=&quot;00A5007F&quot;/&gt;&lt;wsp:rsid wsp:val=&quot;00A51AFD&quot;/&gt;&lt;wsp:rsid wsp:val=&quot;00A543AF&quot;/&gt;&lt;wsp:rsid wsp:val=&quot;00A5570E&quot;/&gt;&lt;wsp:rsid wsp:val=&quot;00A55CF4&quot;/&gt;&lt;wsp:rsid wsp:val=&quot;00A5611B&quot;/&gt;&lt;wsp:rsid wsp:val=&quot;00A564F6&quot;/&gt;&lt;wsp:rsid wsp:val=&quot;00A610D5&quot;/&gt;&lt;wsp:rsid wsp:val=&quot;00A61935&quot;/&gt;&lt;wsp:rsid wsp:val=&quot;00A61E46&quot;/&gt;&lt;wsp:rsid wsp:val=&quot;00A6580A&quot;/&gt;&lt;wsp:rsid wsp:val=&quot;00A71D04&quot;/&gt;&lt;wsp:rsid wsp:val=&quot;00A752B0&quot;/&gt;&lt;wsp:rsid wsp:val=&quot;00A77443&quot;/&gt;&lt;wsp:rsid wsp:val=&quot;00A77909&quot;/&gt;&lt;wsp:rsid wsp:val=&quot;00A77EFD&quot;/&gt;&lt;wsp:rsid wsp:val=&quot;00A80D3B&quot;/&gt;&lt;wsp:rsid wsp:val=&quot;00A83B70&quot;/&gt;&lt;wsp:rsid wsp:val=&quot;00A90753&quot;/&gt;&lt;wsp:rsid wsp:val=&quot;00A95126&quot;/&gt;&lt;wsp:rsid wsp:val=&quot;00A95775&quot;/&gt;&lt;wsp:rsid wsp:val=&quot;00AA1F42&quot;/&gt;&lt;wsp:rsid wsp:val=&quot;00AA341E&quot;/&gt;&lt;wsp:rsid wsp:val=&quot;00AA5A65&quot;/&gt;&lt;wsp:rsid wsp:val=&quot;00AA5C7C&quot;/&gt;&lt;wsp:rsid wsp:val=&quot;00AA6A75&quot;/&gt;&lt;wsp:rsid wsp:val=&quot;00AB2D77&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2F16&quot;/&gt;&lt;wsp:rsid wsp:val=&quot;00AD4AFD&quot;/&gt;&lt;wsp:rsid wsp:val=&quot;00AD623E&quot;/&gt;&lt;wsp:rsid wsp:val=&quot;00AD7C0A&quot;/&gt;&lt;wsp:rsid wsp:val=&quot;00AE22B1&quot;/&gt;&lt;wsp:rsid wsp:val=&quot;00AE4352&quot;/&gt;&lt;wsp:rsid wsp:val=&quot;00AE554F&quot;/&gt;&lt;wsp:rsid wsp:val=&quot;00AF2F6E&quot;/&gt;&lt;wsp:rsid wsp:val=&quot;00AF676F&quot;/&gt;&lt;wsp:rsid wsp:val=&quot;00AF6EBE&quot;/&gt;&lt;wsp:rsid wsp:val=&quot;00AF6FD5&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46C5F&quot;/&gt;&lt;wsp:rsid wsp:val=&quot;00B47B89&quot;/&gt;&lt;wsp:rsid wsp:val=&quot;00B50F43&quot;/&gt;&lt;wsp:rsid wsp:val=&quot;00B51372&quot;/&gt;&lt;wsp:rsid wsp:val=&quot;00B51987&quot;/&gt;&lt;wsp:rsid wsp:val=&quot;00B52708&quot;/&gt;&lt;wsp:rsid wsp:val=&quot;00B529BC&quot;/&gt;&lt;wsp:rsid wsp:val=&quot;00B5321F&quot;/&gt;&lt;wsp:rsid wsp:val=&quot;00B55528&quot;/&gt;&lt;wsp:rsid wsp:val=&quot;00B57F15&quot;/&gt;&lt;wsp:rsid wsp:val=&quot;00B601DC&quot;/&gt;&lt;wsp:rsid wsp:val=&quot;00B631FD&quot;/&gt;&lt;wsp:rsid wsp:val=&quot;00B639F2&quot;/&gt;&lt;wsp:rsid wsp:val=&quot;00B640E8&quot;/&gt;&lt;wsp:rsid wsp:val=&quot;00B657A8&quot;/&gt;&lt;wsp:rsid wsp:val=&quot;00B7219D&quot;/&gt;&lt;wsp:rsid wsp:val=&quot;00B727C9&quot;/&gt;&lt;wsp:rsid wsp:val=&quot;00B75DE1&quot;/&gt;&lt;wsp:rsid wsp:val=&quot;00B77842&quot;/&gt;&lt;wsp:rsid wsp:val=&quot;00B80F17&quot;/&gt;&lt;wsp:rsid wsp:val=&quot;00B8279D&quot;/&gt;&lt;wsp:rsid wsp:val=&quot;00B82E06&quot;/&gt;&lt;wsp:rsid wsp:val=&quot;00B906C7&quot;/&gt;&lt;wsp:rsid wsp:val=&quot;00B91965&quot;/&gt;&lt;wsp:rsid wsp:val=&quot;00B94A19&quot;/&gt;&lt;wsp:rsid wsp:val=&quot;00B97AAA&quot;/&gt;&lt;wsp:rsid wsp:val=&quot;00BA1624&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848&quot;/&gt;&lt;wsp:rsid wsp:val=&quot;00BD491D&quot;/&gt;&lt;wsp:rsid wsp:val=&quot;00BD5E6D&quot;/&gt;&lt;wsp:rsid wsp:val=&quot;00BD604C&quot;/&gt;&lt;wsp:rsid wsp:val=&quot;00BE05E7&quot;/&gt;&lt;wsp:rsid wsp:val=&quot;00BE198E&quot;/&gt;&lt;wsp:rsid wsp:val=&quot;00BE4A93&quot;/&gt;&lt;wsp:rsid wsp:val=&quot;00BF1087&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576&quot;/&gt;&lt;wsp:rsid wsp:val=&quot;00C07417&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315AF&quot;/&gt;&lt;wsp:rsid wsp:val=&quot;00C31977&quot;/&gt;&lt;wsp:rsid wsp:val=&quot;00C34389&quot;/&gt;&lt;wsp:rsid wsp:val=&quot;00C351CE&quot;/&gt;&lt;wsp:rsid wsp:val=&quot;00C35D08&quot;/&gt;&lt;wsp:rsid wsp:val=&quot;00C37194&quot;/&gt;&lt;wsp:rsid wsp:val=&quot;00C418B6&quot;/&gt;&lt;wsp:rsid wsp:val=&quot;00C447E1&quot;/&gt;&lt;wsp:rsid wsp:val=&quot;00C44A5D&quot;/&gt;&lt;wsp:rsid wsp:val=&quot;00C51723&quot;/&gt;&lt;wsp:rsid wsp:val=&quot;00C52C3D&quot;/&gt;&lt;wsp:rsid wsp:val=&quot;00C54454&quot;/&gt;&lt;wsp:rsid wsp:val=&quot;00C569CC&quot;/&gt;&lt;wsp:rsid wsp:val=&quot;00C63900&quot;/&gt;&lt;wsp:rsid wsp:val=&quot;00C6529A&quot;/&gt;&lt;wsp:rsid wsp:val=&quot;00C707D9&quot;/&gt;&lt;wsp:rsid wsp:val=&quot;00C70CA4&quot;/&gt;&lt;wsp:rsid wsp:val=&quot;00C72E52&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87B6A&quot;/&gt;&lt;wsp:rsid wsp:val=&quot;00C91D1C&quot;/&gt;&lt;wsp:rsid wsp:val=&quot;00C96329&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4841&quot;/&gt;&lt;wsp:rsid wsp:val=&quot;00CC4B34&quot;/&gt;&lt;wsp:rsid wsp:val=&quot;00CC4FB3&quot;/&gt;&lt;wsp:rsid wsp:val=&quot;00CC5EE5&quot;/&gt;&lt;wsp:rsid wsp:val=&quot;00CC6145&quot;/&gt;&lt;wsp:rsid wsp:val=&quot;00CD08C0&quot;/&gt;&lt;wsp:rsid wsp:val=&quot;00CD1153&quot;/&gt;&lt;wsp:rsid wsp:val=&quot;00CD1D60&quot;/&gt;&lt;wsp:rsid wsp:val=&quot;00CD2776&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6275&quot;/&gt;&lt;wsp:rsid wsp:val=&quot;00CF6A5B&quot;/&gt;&lt;wsp:rsid wsp:val=&quot;00CF7BB1&quot;/&gt;&lt;wsp:rsid wsp:val=&quot;00D00727&quot;/&gt;&lt;wsp:rsid wsp:val=&quot;00D0138D&quot;/&gt;&lt;wsp:rsid wsp:val=&quot;00D02D0D&quot;/&gt;&lt;wsp:rsid wsp:val=&quot;00D04FA8&quot;/&gt;&lt;wsp:rsid wsp:val=&quot;00D06391&quot;/&gt;&lt;wsp:rsid wsp:val=&quot;00D1164E&quot;/&gt;&lt;wsp:rsid wsp:val=&quot;00D1420E&quot;/&gt;&lt;wsp:rsid wsp:val=&quot;00D15FAF&quot;/&gt;&lt;wsp:rsid wsp:val=&quot;00D16974&quot;/&gt;&lt;wsp:rsid wsp:val=&quot;00D16A87&quot;/&gt;&lt;wsp:rsid wsp:val=&quot;00D20BAF&quot;/&gt;&lt;wsp:rsid wsp:val=&quot;00D26D98&quot;/&gt;&lt;wsp:rsid wsp:val=&quot;00D308FD&quot;/&gt;&lt;wsp:rsid wsp:val=&quot;00D3374A&quot;/&gt;&lt;wsp:rsid wsp:val=&quot;00D35243&quot;/&gt;&lt;wsp:rsid wsp:val=&quot;00D43CBF&quot;/&gt;&lt;wsp:rsid wsp:val=&quot;00D506D0&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00A4&quot;/&gt;&lt;wsp:rsid wsp:val=&quot;00D82F01&quot;/&gt;&lt;wsp:rsid wsp:val=&quot;00D82F8E&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A678C&quot;/&gt;&lt;wsp:rsid wsp:val=&quot;00DB156D&quot;/&gt;&lt;wsp:rsid wsp:val=&quot;00DB17FD&quot;/&gt;&lt;wsp:rsid wsp:val=&quot;00DB25C9&quot;/&gt;&lt;wsp:rsid wsp:val=&quot;00DB429C&quot;/&gt;&lt;wsp:rsid wsp:val=&quot;00DB6042&quot;/&gt;&lt;wsp:rsid wsp:val=&quot;00DB6D13&quot;/&gt;&lt;wsp:rsid wsp:val=&quot;00DB7CE0&quot;/&gt;&lt;wsp:rsid wsp:val=&quot;00DB7E00&quot;/&gt;&lt;wsp:rsid wsp:val=&quot;00DC4EDD&quot;/&gt;&lt;wsp:rsid wsp:val=&quot;00DC4FAB&quot;/&gt;&lt;wsp:rsid wsp:val=&quot;00DC6FBA&quot;/&gt;&lt;wsp:rsid wsp:val=&quot;00DC7777&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DF730D&quot;/&gt;&lt;wsp:rsid wsp:val=&quot;00E00BB2&quot;/&gt;&lt;wsp:rsid wsp:val=&quot;00E02359&quot;/&gt;&lt;wsp:rsid wsp:val=&quot;00E03022&quot;/&gt;&lt;wsp:rsid wsp:val=&quot;00E05B1A&quot;/&gt;&lt;wsp:rsid wsp:val=&quot;00E11E5B&quot;/&gt;&lt;wsp:rsid wsp:val=&quot;00E11EE2&quot;/&gt;&lt;wsp:rsid wsp:val=&quot;00E177DB&quot;/&gt;&lt;wsp:rsid wsp:val=&quot;00E20892&quot;/&gt;&lt;wsp:rsid wsp:val=&quot;00E22783&quot;/&gt;&lt;wsp:rsid wsp:val=&quot;00E2627F&quot;/&gt;&lt;wsp:rsid wsp:val=&quot;00E32BEE&quot;/&gt;&lt;wsp:rsid wsp:val=&quot;00E3361E&quot;/&gt;&lt;wsp:rsid wsp:val=&quot;00E33C24&quot;/&gt;&lt;wsp:rsid wsp:val=&quot;00E34F25&quot;/&gt;&lt;wsp:rsid wsp:val=&quot;00E35DBE&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57495&quot;/&gt;&lt;wsp:rsid wsp:val=&quot;00E62CDA&quot;/&gt;&lt;wsp:rsid wsp:val=&quot;00E62F62&quot;/&gt;&lt;wsp:rsid wsp:val=&quot;00E645B4&quot;/&gt;&lt;wsp:rsid wsp:val=&quot;00E70311&quot;/&gt;&lt;wsp:rsid wsp:val=&quot;00E7512C&quot;/&gt;&lt;wsp:rsid wsp:val=&quot;00E75E82&quot;/&gt;&lt;wsp:rsid wsp:val=&quot;00E7769E&quot;/&gt;&lt;wsp:rsid wsp:val=&quot;00E80D0C&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43E2&quot;/&gt;&lt;wsp:rsid wsp:val=&quot;00EA7990&quot;/&gt;&lt;wsp:rsid wsp:val=&quot;00EB14BE&quot;/&gt;&lt;wsp:rsid wsp:val=&quot;00EB1A36&quot;/&gt;&lt;wsp:rsid wsp:val=&quot;00EB37A1&quot;/&gt;&lt;wsp:rsid wsp:val=&quot;00EB53DA&quot;/&gt;&lt;wsp:rsid wsp:val=&quot;00EC03F3&quot;/&gt;&lt;wsp:rsid wsp:val=&quot;00EC15DC&quot;/&gt;&lt;wsp:rsid wsp:val=&quot;00EC73DA&quot;/&gt;&lt;wsp:rsid wsp:val=&quot;00EC7B40&quot;/&gt;&lt;wsp:rsid wsp:val=&quot;00ED034C&quot;/&gt;&lt;wsp:rsid wsp:val=&quot;00ED04C4&quot;/&gt;&lt;wsp:rsid wsp:val=&quot;00ED2E01&quot;/&gt;&lt;wsp:rsid wsp:val=&quot;00ED55AE&quot;/&gt;&lt;wsp:rsid wsp:val=&quot;00ED6F25&quot;/&gt;&lt;wsp:rsid wsp:val=&quot;00EE1DB6&quot;/&gt;&lt;wsp:rsid wsp:val=&quot;00EE7873&quot;/&gt;&lt;wsp:rsid wsp:val=&quot;00EF0FDC&quot;/&gt;&lt;wsp:rsid wsp:val=&quot;00EF13A7&quot;/&gt;&lt;wsp:rsid wsp:val=&quot;00EF1AAC&quot;/&gt;&lt;wsp:rsid wsp:val=&quot;00EF31D8&quot;/&gt;&lt;wsp:rsid wsp:val=&quot;00EF3F8A&quot;/&gt;&lt;wsp:rsid wsp:val=&quot;00EF4F07&quot;/&gt;&lt;wsp:rsid wsp:val=&quot;00EF5EC3&quot;/&gt;&lt;wsp:rsid wsp:val=&quot;00EF6036&quot;/&gt;&lt;wsp:rsid wsp:val=&quot;00EF61D5&quot;/&gt;&lt;wsp:rsid wsp:val=&quot;00F000D6&quot;/&gt;&lt;wsp:rsid wsp:val=&quot;00F0023E&quot;/&gt;&lt;wsp:rsid wsp:val=&quot;00F032BF&quot;/&gt;&lt;wsp:rsid wsp:val=&quot;00F03A4D&quot;/&gt;&lt;wsp:rsid wsp:val=&quot;00F07602&quot;/&gt;&lt;wsp:rsid wsp:val=&quot;00F07769&quot;/&gt;&lt;wsp:rsid wsp:val=&quot;00F07B8D&quot;/&gt;&lt;wsp:rsid wsp:val=&quot;00F12365&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6EA3&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4657&quot;/&gt;&lt;wsp:rsid wsp:val=&quot;00F75264&quot;/&gt;&lt;wsp:rsid wsp:val=&quot;00F75CFD&quot;/&gt;&lt;wsp:rsid wsp:val=&quot;00F81DD5&quot;/&gt;&lt;wsp:rsid wsp:val=&quot;00F82B4F&quot;/&gt;&lt;wsp:rsid wsp:val=&quot;00F82E18&quot;/&gt;&lt;wsp:rsid wsp:val=&quot;00F85221&quot;/&gt;&lt;wsp:rsid wsp:val=&quot;00F8606F&quot;/&gt;&lt;wsp:rsid wsp:val=&quot;00F8638F&quot;/&gt;&lt;wsp:rsid wsp:val=&quot;00F91B6E&quot;/&gt;&lt;wsp:rsid wsp:val=&quot;00F92A66&quot;/&gt;&lt;wsp:rsid wsp:val=&quot;00F95794&quot;/&gt;&lt;wsp:rsid wsp:val=&quot;00F962C8&quot;/&gt;&lt;wsp:rsid wsp:val=&quot;00F9692E&quot;/&gt;&lt;wsp:rsid wsp:val=&quot;00F97D6F&quot;/&gt;&lt;wsp:rsid wsp:val=&quot;00FA3B5F&quot;/&gt;&lt;wsp:rsid wsp:val=&quot;00FA4E28&quot;/&gt;&lt;wsp:rsid wsp:val=&quot;00FA616A&quot;/&gt;&lt;wsp:rsid wsp:val=&quot;00FA6633&quot;/&gt;&lt;wsp:rsid wsp:val=&quot;00FA7C6E&quot;/&gt;&lt;wsp:rsid wsp:val=&quot;00FB02B8&quot;/&gt;&lt;wsp:rsid wsp:val=&quot;00FB0F0E&quot;/&gt;&lt;wsp:rsid wsp:val=&quot;00FB3721&quot;/&gt;&lt;wsp:rsid wsp:val=&quot;00FC0112&quot;/&gt;&lt;wsp:rsid wsp:val=&quot;00FC2435&quot;/&gt;&lt;wsp:rsid wsp:val=&quot;00FC2853&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48C8&quot;/&gt;&lt;wsp:rsid wsp:val=&quot;00FE6A52&quot;/&gt;&lt;wsp:rsid wsp:val=&quot;00FF1A14&quot;/&gt;&lt;wsp:rsid wsp:val=&quot;00FF45F8&quot;/&gt;&lt;/wsp:rsids&gt;&lt;/w:docPr&gt;&lt;w:body&gt;&lt;wx:sect&gt;&lt;w:p wsp:rsidR=&quot;002C1A38&quot; wsp:rsidRDefault=&quot;002C1A38&quot; wsp:rsidP=&quot;002C1A38&quot;&gt;&lt;m:oMathPara&gt;&lt;m:oMath&gt;&lt;m:d&gt;&lt;m:dPr&gt;&lt;m:begChr m:val=&quot;⌈&quot;/&gt;&lt;m:endChr m:val=&quot;⌉&quot;/&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log&lt;/m:t&gt;&lt;/m:r&gt;&lt;/m:e&gt;&lt;m:sub&gt;&lt;m:r&gt;&lt;w:rPr&gt;&lt;w:rFonts w:ascii=&quot;Cambria Math&quot; w:h-ansi=&quot;Cambria Math&quot;/&gt;&lt;wx:font wx:val=&quot;Cambria Math&quot;/&gt;&lt;w:i/&gt;&lt;w:sz-cs w:val=&quot;28&quot;/&gt;&lt;/w:rPr&gt;&lt;m:t&gt;2&lt;/m:t&gt;&lt;/m:r&gt;&lt;/m:sub&gt;&lt;/m:sSub&gt;&lt;m:d&gt;&lt;m:dPr&gt;&lt;m:ctrlPr&gt;&lt;w:rPr&gt;&lt;w:rFonts w:ascii=&quot;Cambria Math&quot; w:h-ansi=&quot;Cambria Math&quot;/&gt;&lt;wx:font wx:val=&quot;Cambria Math&quot;/&gt;&lt;w:i/&gt;&lt;w:i-cs/&gt;&lt;w:sz-cs w:val=&quot;28&quot;/&gt;&lt;/w:rPr&gt;&lt;/m:ctrlPr&gt;&lt;/m:dPr&gt;&lt;m:e&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K&lt;/m:t&gt;&lt;/m:r&gt;&lt;/m:e&gt;&lt;m:sub&gt;&lt;m:r&gt;&lt;w:rPr&gt;&lt;w:rFonts w:ascii=&quot;Cambria Math&quot; w:h-ansi=&quot;Cambria Math&quot;/&gt;&lt;wx:font wx:val=&quot;Cambria Math&quot;/&gt;&lt;w:i/&gt;&lt;w:sz-cs w:val=&quot;28&quot;/&gt;&lt;/w:rPr&gt;&lt;m:t&gt;S&lt;/m:t&gt;&lt;/m:r&gt;&lt;/m:sub&gt;&lt;/m:sSub&gt;&lt;m:r&gt;&lt;w:rPr&gt;&lt;w:rFonts w:ascii=&quot;Cambria Math&quot; w:h-ansi=&quot;Cambria Math&quot;/&gt;&lt;wx:font wx:val=&quot;Cambria Math&quot;/&gt;&lt;w:i/&gt;&lt;w:sz-cs w:val=&quot;28&quot;/&gt;&lt;/w:rPr&gt;&lt;m:t&gt;-&lt;/m:t&gt;&lt;/m:r&gt;&lt;m:sSub&gt;&lt;m:sSubPr&gt;&lt;m:ctrlPr&gt;&lt;w:rPr&gt;&lt;w:rFonts w:ascii=&quot;Cambria Math&quot; w:h-ansi=&quot;Cambria Math&quot;/&gt;&lt;wx:font wx:val=&quot;Cambria Math&quot;/&gt;&lt;w:i/&gt;&lt;w:i-cs/&gt;&lt;w:sz-cs w:val=&quot;28&quot;/&gt;&lt;/w:rPr&gt;&lt;/m:ctrlPr&gt;&lt;/m:sSubPr&gt;&lt;m:e&gt;&lt;m:r&gt;&lt;w:rPr&gt;&lt;w:rFonts w:ascii=&quot;Cambria Math&quot; w:h-ansi=&quot;Cambria Math&quot;/&gt;&lt;wx:font wx:val=&quot;Cambria Math&quot;/&gt;&lt;w:i/&gt;&lt;w:sz-cs w:val=&quot;28&quot;/&gt;&lt;/w:rPr&gt;&lt;m:t&gt;M&lt;/m:t&gt;&lt;/m:r&gt;&lt;/m:e&gt;&lt;m:sub&gt;&lt;m:r&gt;&lt;w:rPr&gt;&lt;w:rFonts w:ascii=&quot;Cambria Math&quot; w:h-ansi=&quot;Cambria Math&quot;/&gt;&lt;wx:font wx:val=&quot;Cambria Math&quot;/&gt;&lt;w:i/&gt;&lt;w:sz-cs w:val=&quot;28&quot;/&gt;&lt;/w:rPr&gt;&lt;m:t&gt;R&lt;/m:t&gt;&lt;/m:r&gt;&lt;/m:sub&gt;&lt;/m:sSub&gt;&lt;/m:e&gt;&lt;/m:d&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iCs/>
                <w:szCs w:val="28"/>
              </w:rPr>
              <w:fldChar w:fldCharType="end"/>
            </w:r>
            <w:r>
              <w:rPr>
                <w:iCs/>
                <w:szCs w:val="28"/>
              </w:rPr>
              <w:t xml:space="preserve"> bits)</w:t>
            </w:r>
          </w:p>
          <w:p>
            <w:pPr>
              <w:widowControl w:val="0"/>
              <w:rPr>
                <w:rFonts w:cs="Time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bl>
    <w:p>
      <w:pPr>
        <w:rPr>
          <w:rFonts w:hint="default"/>
          <w:lang w:val="en-US" w:eastAsia="zh-CN"/>
        </w:rPr>
      </w:pPr>
    </w:p>
    <w:p>
      <w:pPr>
        <w:rPr>
          <w:rFonts w:hint="eastAsia"/>
          <w:lang w:val="en-US" w:eastAsia="zh-CN"/>
        </w:rPr>
      </w:pPr>
      <w:bookmarkStart w:id="15" w:name="OLE_LINK1"/>
      <w:r>
        <w:rPr>
          <w:rFonts w:hint="eastAsia"/>
          <w:lang w:val="en-US" w:eastAsia="zh-CN"/>
        </w:rPr>
        <w:t xml:space="preserve">From the perspective of the NW side, considering the historical information and knowledge about beams with higher pair probability, it is reasonable for the NW to configure or request the UE to report CSI associated with less than M (&lt;M) of </w:t>
      </w:r>
      <w:r>
        <w:rPr>
          <w:i/>
          <w:szCs w:val="28"/>
        </w:rPr>
        <w:t>K</w:t>
      </w:r>
      <w:r>
        <w:rPr>
          <w:i/>
          <w:szCs w:val="28"/>
          <w:vertAlign w:val="subscript"/>
        </w:rPr>
        <w:t>S</w:t>
      </w:r>
      <w:r>
        <w:rPr>
          <w:rFonts w:hint="eastAsia"/>
          <w:i/>
          <w:szCs w:val="28"/>
          <w:vertAlign w:val="subscript"/>
          <w:lang w:val="en-US" w:eastAsia="zh-CN"/>
        </w:rPr>
        <w:t xml:space="preserve">  </w:t>
      </w:r>
      <w:r>
        <w:rPr>
          <w:rFonts w:hint="eastAsia"/>
          <w:lang w:val="en-US" w:eastAsia="zh-CN"/>
        </w:rPr>
        <w:t xml:space="preserve">CSI-RS resources. However, we believe that </w:t>
      </w:r>
      <w:r>
        <w:rPr>
          <w:i/>
          <w:szCs w:val="28"/>
        </w:rPr>
        <w:t>M</w:t>
      </w:r>
      <w:r>
        <w:rPr>
          <w:i/>
          <w:szCs w:val="28"/>
          <w:vertAlign w:val="subscript"/>
        </w:rPr>
        <w:t>R</w:t>
      </w:r>
      <w:r>
        <w:rPr>
          <w:rFonts w:hint="eastAsia"/>
          <w:i/>
          <w:szCs w:val="28"/>
          <w:vertAlign w:val="subscript"/>
          <w:lang w:val="en-US" w:eastAsia="zh-CN"/>
        </w:rPr>
        <w:t xml:space="preserve"> </w:t>
      </w:r>
      <w:r>
        <w:rPr>
          <w:rFonts w:hint="eastAsia"/>
          <w:szCs w:val="28"/>
          <w:lang w:val="en-US" w:eastAsia="zh-CN"/>
        </w:rPr>
        <w:t xml:space="preserve">= 1 </w:t>
      </w:r>
      <w:r>
        <w:rPr>
          <w:rFonts w:hint="eastAsia"/>
          <w:lang w:val="en-US" w:eastAsia="zh-CN"/>
        </w:rPr>
        <w:t>is sufficient. Furthermore, the specific relationship between CSI-RS resources and analog beams depends on the NW's processing. The NW can consistently transmit the analog beam with a higher pair probability using a fixed CSI-RS resource index. For example, the CSI for the first CSI-RS resource can always be reported.</w:t>
      </w:r>
    </w:p>
    <w:bookmarkEnd w:id="15"/>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i/>
          <w:sz w:val="22"/>
          <w:szCs w:val="22"/>
          <w:highlight w:val="none"/>
          <w:lang w:val="en-US" w:eastAsia="zh-CN"/>
        </w:rPr>
      </w:pPr>
      <w:r>
        <w:rPr>
          <w:rFonts w:hint="eastAsia"/>
          <w:b/>
          <w:i/>
          <w:sz w:val="22"/>
          <w:szCs w:val="22"/>
          <w:highlight w:val="none"/>
          <w:lang w:val="en-US" w:eastAsia="zh-CN"/>
        </w:rPr>
        <w:t>: Support the reporting of CSI corresponding to a fixed CSI-RS resource index.</w:t>
      </w:r>
    </w:p>
    <w:p>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ind w:leftChars="0"/>
        <w:textAlignment w:val="auto"/>
        <w:rPr>
          <w:rFonts w:hint="eastAsia"/>
          <w:b/>
          <w:i/>
          <w:sz w:val="22"/>
          <w:szCs w:val="22"/>
          <w:highlight w:val="none"/>
          <w:lang w:val="en-US" w:eastAsia="zh-CN"/>
        </w:rPr>
      </w:pPr>
    </w:p>
    <w:p>
      <w:pPr>
        <w:pStyle w:val="3"/>
        <w:bidi w:val="0"/>
        <w:rPr>
          <w:rFonts w:hint="default"/>
          <w:lang w:val="en-US" w:eastAsia="zh-CN"/>
        </w:rPr>
      </w:pPr>
      <w:r>
        <w:rPr>
          <w:rFonts w:hint="eastAsia"/>
          <w:lang w:val="en-US" w:eastAsia="zh-CN"/>
        </w:rPr>
        <w:t xml:space="preserve">CSI omission </w:t>
      </w:r>
    </w:p>
    <w:p>
      <w:pPr>
        <w:rPr>
          <w:rFonts w:hint="eastAsia"/>
          <w:lang w:val="en-US" w:eastAsia="zh-CN"/>
        </w:rPr>
      </w:pPr>
      <w:r>
        <w:rPr>
          <w:rFonts w:hint="eastAsia"/>
          <w:lang w:val="en-US" w:eastAsia="zh-CN"/>
        </w:rPr>
        <w:t xml:space="preserve">It is clear that reporting multiple CSIs helps increase the probability of UE pairing. However, the more CSI reporting there is, the larger the feedback overhead, which in turn increases the probability of reporting resource collision. From the NW perspective, only one CSI should be chosen to transmit the information. Therefore, we believe that support for CSI omission based on a mechanism similar to </w:t>
      </w:r>
      <w:r>
        <w:rPr>
          <w:rFonts w:hint="eastAsia"/>
          <w:i/>
          <w:iCs/>
          <w:lang w:val="en-US" w:eastAsia="zh-CN"/>
        </w:rPr>
        <w:t>csi-ReportSubConfigID</w:t>
      </w:r>
      <w:r>
        <w:rPr>
          <w:rFonts w:hint="eastAsia"/>
          <w:lang w:val="en-US" w:eastAsia="zh-CN"/>
        </w:rPr>
        <w:t xml:space="preserve"> for NES should be considered.</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ascii="Times New Roman" w:hAnsi="Times New Roman" w:eastAsia="宋体" w:cs="Times New Roman"/>
          <w:b/>
          <w:bCs/>
          <w:i/>
          <w:sz w:val="22"/>
          <w:szCs w:val="22"/>
          <w:lang w:val="en-US" w:eastAsia="zh-CN" w:bidi="ar-SA"/>
        </w:rPr>
      </w:pPr>
      <w:r>
        <w:rPr>
          <w:rFonts w:hint="eastAsia"/>
          <w:b/>
          <w:i/>
          <w:sz w:val="22"/>
          <w:szCs w:val="22"/>
          <w:lang w:val="en-US" w:eastAsia="zh-CN"/>
        </w:rPr>
        <w:t>:</w:t>
      </w:r>
      <w:r>
        <w:rPr>
          <w:rFonts w:hint="default" w:ascii="Times New Roman" w:hAnsi="Times New Roman" w:eastAsia="宋体" w:cs="Times New Roman"/>
          <w:b/>
          <w:bCs/>
          <w:i/>
          <w:sz w:val="22"/>
          <w:szCs w:val="22"/>
          <w:lang w:val="en-US" w:eastAsia="zh-CN" w:bidi="ar-SA"/>
        </w:rPr>
        <w:t>Supporting UCI omission with CSI level, similar to the mechanism based on csi-ReportSubConfigID for NES.</w:t>
      </w:r>
    </w:p>
    <w:p>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ind w:leftChars="0"/>
        <w:textAlignment w:val="auto"/>
        <w:rPr>
          <w:rFonts w:hint="default" w:ascii="Times New Roman" w:hAnsi="Times New Roman" w:eastAsia="宋体" w:cs="Times New Roman"/>
          <w:b/>
          <w:bCs/>
          <w:i/>
          <w:sz w:val="22"/>
          <w:szCs w:val="22"/>
          <w:lang w:val="en-US" w:eastAsia="zh-CN" w:bidi="ar-SA"/>
        </w:rPr>
      </w:pPr>
    </w:p>
    <w:p>
      <w:pPr>
        <w:pStyle w:val="3"/>
        <w:bidi w:val="0"/>
        <w:rPr>
          <w:rFonts w:hint="default"/>
          <w:lang w:val="en-US" w:eastAsia="zh-CN"/>
        </w:rPr>
      </w:pPr>
      <w:r>
        <w:rPr>
          <w:rFonts w:hint="eastAsia"/>
          <w:lang w:val="en-US" w:eastAsia="zh-CN"/>
        </w:rPr>
        <w:t xml:space="preserve">CPU and </w:t>
      </w:r>
      <w:r>
        <w:rPr>
          <w:bCs/>
          <w:iCs/>
          <w:szCs w:val="20"/>
        </w:rPr>
        <w:t>Z/Z’</w:t>
      </w:r>
      <w:r>
        <w:rPr>
          <w:rFonts w:hint="eastAsia"/>
          <w:bCs/>
          <w:iCs/>
          <w:szCs w:val="20"/>
          <w:lang w:val="en-US" w:eastAsia="zh-CN"/>
        </w:rPr>
        <w:t xml:space="preserve"> values</w:t>
      </w:r>
    </w:p>
    <w:p>
      <w:pPr>
        <w:rPr>
          <w:rFonts w:hint="default"/>
          <w:lang w:val="en-US" w:eastAsia="zh-CN"/>
        </w:rPr>
      </w:pPr>
      <w:r>
        <w:rPr>
          <w:rFonts w:hint="eastAsia"/>
          <w:lang w:val="en-US" w:eastAsia="zh-CN"/>
        </w:rPr>
        <w:t xml:space="preserve">In the lasting meeting, the following agreement are achieved for CRI-based CSI refinement. In this part, our views on CPU occupation and CSI calculate time are provided. </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73" w:hRule="atLeast"/>
        </w:trPr>
        <w:tc>
          <w:tcPr>
            <w:tcW w:w="9351" w:type="dxa"/>
          </w:tcPr>
          <w:p>
            <w:pPr>
              <w:widowControl w:val="0"/>
              <w:rPr>
                <w:b/>
                <w:bCs/>
                <w:highlight w:val="green"/>
              </w:rPr>
            </w:pPr>
            <w:r>
              <w:rPr>
                <w:b/>
                <w:bCs/>
                <w:highlight w:val="green"/>
              </w:rPr>
              <w:t>Agreement</w:t>
            </w:r>
          </w:p>
          <w:p>
            <w:pPr>
              <w:widowControl w:val="0"/>
              <w:snapToGrid w:val="0"/>
              <w:rPr>
                <w:iCs/>
                <w:szCs w:val="20"/>
              </w:rPr>
            </w:pPr>
            <w:r>
              <w:rPr>
                <w:iCs/>
                <w:szCs w:val="20"/>
              </w:rPr>
              <w:t xml:space="preserve">For the Rel-19 CRI-based CSI refinement for up to 128 CSI-RS ports, </w:t>
            </w:r>
          </w:p>
          <w:p>
            <w:pPr>
              <w:widowControl w:val="0"/>
              <w:numPr>
                <w:ilvl w:val="0"/>
                <w:numId w:val="9"/>
              </w:numPr>
              <w:snapToGrid w:val="0"/>
              <w:rPr>
                <w:iCs/>
                <w:szCs w:val="20"/>
              </w:rPr>
            </w:pPr>
            <w:r>
              <w:rPr>
                <w:iCs/>
                <w:szCs w:val="20"/>
              </w:rPr>
              <w:t>For Rel-15 Type-I Single Panel codebook, M is NW-configured via higher-layer (RRC) signaling with candidate value(s) of {1, …, min(4,K</w:t>
            </w:r>
            <w:r>
              <w:rPr>
                <w:iCs/>
                <w:szCs w:val="20"/>
                <w:vertAlign w:val="subscript"/>
              </w:rPr>
              <w:t>S</w:t>
            </w:r>
            <w:r>
              <w:rPr>
                <w:iCs/>
                <w:szCs w:val="20"/>
              </w:rPr>
              <w:t>)}</w:t>
            </w:r>
          </w:p>
          <w:p>
            <w:pPr>
              <w:widowControl w:val="0"/>
              <w:numPr>
                <w:ilvl w:val="1"/>
                <w:numId w:val="9"/>
              </w:numPr>
              <w:snapToGrid w:val="0"/>
              <w:rPr>
                <w:iCs/>
                <w:szCs w:val="20"/>
              </w:rPr>
            </w:pPr>
            <w:r>
              <w:rPr>
                <w:iCs/>
                <w:szCs w:val="20"/>
              </w:rPr>
              <w:t>The maximum value of M is subject to UE capability</w:t>
            </w:r>
          </w:p>
          <w:p>
            <w:pPr>
              <w:widowControl w:val="0"/>
              <w:numPr>
                <w:ilvl w:val="0"/>
                <w:numId w:val="9"/>
              </w:numPr>
              <w:snapToGrid w:val="0"/>
              <w:rPr>
                <w:iCs/>
                <w:szCs w:val="20"/>
              </w:rPr>
            </w:pPr>
            <w:r>
              <w:rPr>
                <w:iCs/>
                <w:szCs w:val="20"/>
              </w:rPr>
              <w:t>For Rel-16 eType-II, M=1 is supported</w:t>
            </w:r>
          </w:p>
          <w:p>
            <w:pPr>
              <w:widowControl w:val="0"/>
              <w:numPr>
                <w:ilvl w:val="1"/>
                <w:numId w:val="9"/>
              </w:numPr>
              <w:snapToGrid w:val="0"/>
              <w:rPr>
                <w:iCs/>
                <w:szCs w:val="20"/>
              </w:rPr>
            </w:pPr>
            <w:r>
              <w:rPr>
                <w:iCs/>
                <w:szCs w:val="20"/>
              </w:rPr>
              <w:t>The maximum value of K</w:t>
            </w:r>
            <w:r>
              <w:rPr>
                <w:iCs/>
                <w:szCs w:val="20"/>
                <w:vertAlign w:val="subscript"/>
              </w:rPr>
              <w:t>S</w:t>
            </w:r>
            <w:r>
              <w:rPr>
                <w:iCs/>
                <w:szCs w:val="20"/>
              </w:rPr>
              <w:t xml:space="preserve"> is {1,2,3,4} and subject to UE capability </w:t>
            </w:r>
          </w:p>
          <w:p>
            <w:pPr>
              <w:widowControl w:val="0"/>
              <w:numPr>
                <w:ilvl w:val="2"/>
                <w:numId w:val="9"/>
              </w:numPr>
              <w:snapToGrid w:val="0"/>
              <w:rPr>
                <w:iCs/>
                <w:szCs w:val="20"/>
              </w:rPr>
            </w:pPr>
            <w:r>
              <w:rPr>
                <w:iCs/>
                <w:szCs w:val="20"/>
              </w:rPr>
              <w:t>The support for Rel-16 eType-II is a separate UE capability at least from the support for Rel-19 Type-I and Type-II codebook refinements</w:t>
            </w:r>
          </w:p>
          <w:p>
            <w:pPr>
              <w:widowControl w:val="0"/>
              <w:numPr>
                <w:ilvl w:val="1"/>
                <w:numId w:val="9"/>
              </w:numPr>
              <w:snapToGrid w:val="0"/>
              <w:rPr>
                <w:iCs/>
                <w:szCs w:val="20"/>
              </w:rPr>
            </w:pPr>
            <w:r>
              <w:rPr>
                <w:iCs/>
                <w:szCs w:val="20"/>
              </w:rPr>
              <w:t>FFS (RAN1#116bis): The support for M=2, and if so, the value of M={1, 2} is NW-configured via higher-layer (RRC) signaling, and if additional restriction(s) are needed</w:t>
            </w:r>
          </w:p>
          <w:p>
            <w:pPr>
              <w:widowControl w:val="0"/>
              <w:snapToGrid w:val="0"/>
            </w:pPr>
            <w:r>
              <w:rPr>
                <w:iCs/>
                <w:szCs w:val="20"/>
              </w:rPr>
              <w:t>FFS: The determination of M reported beams</w:t>
            </w:r>
          </w:p>
          <w:p>
            <w:pPr>
              <w:widowControl w:val="0"/>
              <w:jc w:val="both"/>
              <w:rPr>
                <w:rFonts w:eastAsia="Malgun Gothic" w:cs="Times"/>
                <w:sz w:val="18"/>
                <w:szCs w:val="18"/>
                <w:lang w:eastAsia="zh-CN"/>
              </w:rPr>
            </w:pPr>
            <w:r>
              <w:t xml:space="preserve">Note: </w:t>
            </w:r>
            <w:r>
              <w:rPr>
                <w:rFonts w:eastAsia="Malgun Gothic" w:cs="Times"/>
                <w:iCs/>
                <w:szCs w:val="18"/>
                <w:lang w:eastAsia="zh-CN"/>
              </w:rPr>
              <w:t>Selection algorithm of CRI(s) from measurement of K</w:t>
            </w:r>
            <w:r>
              <w:rPr>
                <w:rFonts w:eastAsia="Malgun Gothic" w:cs="Times"/>
                <w:iCs/>
                <w:szCs w:val="18"/>
                <w:vertAlign w:val="subscript"/>
                <w:lang w:eastAsia="zh-CN"/>
              </w:rPr>
              <w:t>S</w:t>
            </w:r>
            <w:r>
              <w:rPr>
                <w:rFonts w:eastAsia="Malgun Gothic" w:cs="Times"/>
                <w:iCs/>
                <w:szCs w:val="18"/>
                <w:lang w:eastAsia="zh-CN"/>
              </w:rPr>
              <w:t>&gt;1 NZP-CSI-RS resources is up to UE implementation</w:t>
            </w:r>
            <w:r>
              <w:rPr>
                <w:rFonts w:eastAsia="Malgun Gothic" w:cs="Times"/>
                <w:sz w:val="18"/>
                <w:szCs w:val="18"/>
                <w:lang w:eastAsia="zh-CN"/>
              </w:rPr>
              <w:t>.</w:t>
            </w:r>
          </w:p>
          <w:p>
            <w:pPr>
              <w:widowControl w:val="0"/>
              <w:jc w:val="both"/>
              <w:rPr>
                <w:rFonts w:eastAsia="Malgun Gothic" w:cs="Times"/>
                <w:sz w:val="18"/>
                <w:szCs w:val="18"/>
                <w:lang w:eastAsia="zh-CN"/>
              </w:rPr>
            </w:pPr>
          </w:p>
          <w:p>
            <w:pPr>
              <w:widowControl w:val="0"/>
              <w:rPr>
                <w:b/>
                <w:bCs/>
                <w:highlight w:val="green"/>
              </w:rPr>
            </w:pPr>
            <w:r>
              <w:rPr>
                <w:b/>
                <w:bCs/>
                <w:highlight w:val="green"/>
              </w:rPr>
              <w:t>Agreement</w:t>
            </w:r>
          </w:p>
          <w:p>
            <w:pPr>
              <w:widowControl w:val="0"/>
              <w:snapToGrid w:val="0"/>
            </w:pPr>
            <w:r>
              <w:rPr>
                <w:iCs/>
                <w:szCs w:val="20"/>
              </w:rPr>
              <w:t>For the Rel-19 CRI-based CSI refinement for up to 128 CSI-RS ports,</w:t>
            </w:r>
            <w:r>
              <w:t xml:space="preserve"> </w:t>
            </w:r>
          </w:p>
          <w:p>
            <w:pPr>
              <w:pStyle w:val="43"/>
              <w:widowControl w:val="0"/>
              <w:numPr>
                <w:ilvl w:val="0"/>
                <w:numId w:val="10"/>
              </w:numPr>
              <w:snapToGrid w:val="0"/>
              <w:ind w:leftChars="0"/>
              <w:rPr>
                <w:highlight w:val="none"/>
              </w:rPr>
            </w:pPr>
            <w:r>
              <w:rPr>
                <w:highlight w:val="none"/>
              </w:rPr>
              <w:t>When M&gt;1, the M PMIs are independently calculated and indicated</w:t>
            </w:r>
          </w:p>
          <w:p>
            <w:pPr>
              <w:pStyle w:val="43"/>
              <w:widowControl w:val="0"/>
              <w:numPr>
                <w:ilvl w:val="0"/>
                <w:numId w:val="10"/>
              </w:numPr>
              <w:snapToGrid w:val="0"/>
              <w:ind w:leftChars="0"/>
              <w:rPr>
                <w:iCs/>
                <w:szCs w:val="20"/>
              </w:rPr>
            </w:pPr>
            <w:r>
              <w:rPr>
                <w:iCs/>
                <w:szCs w:val="20"/>
              </w:rPr>
              <w:t>with the Rel-16 eType-II codebook and K</w:t>
            </w:r>
            <w:r>
              <w:rPr>
                <w:iCs/>
                <w:szCs w:val="20"/>
                <w:vertAlign w:val="subscript"/>
              </w:rPr>
              <w:t>S</w:t>
            </w:r>
            <w:r>
              <w:rPr>
                <w:iCs/>
                <w:szCs w:val="20"/>
              </w:rPr>
              <w:t xml:space="preserve">={1,2,3,4}, support M=2 with a maximum of 16 ports per resource, R=1 only, and a maximum UCI payload of 1706 bits.  </w:t>
            </w:r>
          </w:p>
          <w:p>
            <w:pPr>
              <w:pStyle w:val="43"/>
              <w:widowControl w:val="0"/>
              <w:numPr>
                <w:ilvl w:val="1"/>
                <w:numId w:val="10"/>
              </w:numPr>
              <w:snapToGrid w:val="0"/>
              <w:ind w:leftChars="0"/>
              <w:rPr>
                <w:iCs/>
                <w:color w:val="auto"/>
                <w:szCs w:val="20"/>
              </w:rPr>
            </w:pPr>
            <w:r>
              <w:rPr>
                <w:iCs/>
                <w:color w:val="auto"/>
                <w:szCs w:val="20"/>
              </w:rPr>
              <w:t>The value of M={1, 2} is NW-configured via higher-layer (RRC) signalling</w:t>
            </w:r>
          </w:p>
          <w:p>
            <w:pPr>
              <w:pStyle w:val="43"/>
              <w:widowControl w:val="0"/>
              <w:numPr>
                <w:ilvl w:val="1"/>
                <w:numId w:val="10"/>
              </w:numPr>
              <w:snapToGrid w:val="0"/>
              <w:ind w:leftChars="0"/>
              <w:rPr>
                <w:iCs/>
                <w:color w:val="auto"/>
                <w:szCs w:val="20"/>
              </w:rPr>
            </w:pPr>
            <w:r>
              <w:rPr>
                <w:iCs/>
                <w:color w:val="auto"/>
                <w:szCs w:val="20"/>
              </w:rPr>
              <w:t>The maximum value of M is subject to UE capability</w:t>
            </w:r>
          </w:p>
          <w:p>
            <w:pPr>
              <w:pStyle w:val="43"/>
              <w:widowControl w:val="0"/>
              <w:numPr>
                <w:ilvl w:val="0"/>
                <w:numId w:val="10"/>
              </w:numPr>
              <w:snapToGrid w:val="0"/>
              <w:ind w:leftChars="0"/>
              <w:rPr>
                <w:iCs/>
                <w:szCs w:val="20"/>
              </w:rPr>
            </w:pPr>
            <w:r>
              <w:rPr>
                <w:iCs/>
                <w:szCs w:val="20"/>
              </w:rPr>
              <w:t>on the configured K</w:t>
            </w:r>
            <w:r>
              <w:rPr>
                <w:iCs/>
                <w:szCs w:val="20"/>
                <w:vertAlign w:val="subscript"/>
              </w:rPr>
              <w:t>S</w:t>
            </w:r>
            <w:r>
              <w:rPr>
                <w:iCs/>
                <w:szCs w:val="20"/>
              </w:rPr>
              <w:t>&gt;1 NZP CSI-RS resources, reuse the legacy IMR rule for the Rel-15 CRI-based reporting for NZP CSI-RS resource for interference measurement, i.e. only 1 NZP CSI-RS resource for interference measurement can be configured</w:t>
            </w:r>
          </w:p>
          <w:p>
            <w:pPr>
              <w:widowControl w:val="0"/>
              <w:rPr>
                <w:rFonts w:cs="Times"/>
                <w:lang w:val="en-GB" w:eastAsia="zh-CN"/>
              </w:rPr>
            </w:pPr>
          </w:p>
        </w:tc>
      </w:tr>
    </w:tbl>
    <w:p>
      <w:pPr>
        <w:rPr>
          <w:rFonts w:hint="default"/>
          <w:i/>
          <w:iCs/>
          <w:lang w:val="en-US" w:eastAsia="zh-CN"/>
        </w:rPr>
      </w:pPr>
    </w:p>
    <w:p>
      <w:pPr>
        <w:rPr>
          <w:rFonts w:hint="default"/>
          <w:iCs/>
          <w:szCs w:val="28"/>
          <w:lang w:val="en-US" w:eastAsia="zh-CN"/>
        </w:rPr>
      </w:pPr>
      <w:r>
        <w:rPr>
          <w:rFonts w:hint="default"/>
          <w:iCs/>
          <w:szCs w:val="28"/>
          <w:lang w:val="en-US" w:eastAsia="zh-CN"/>
        </w:rPr>
        <w:t xml:space="preserve">For Rel-15 Type-I </w:t>
      </w:r>
      <w:r>
        <w:rPr>
          <w:rFonts w:hint="eastAsia"/>
          <w:iCs/>
          <w:szCs w:val="28"/>
          <w:lang w:val="en-US" w:eastAsia="zh-CN"/>
        </w:rPr>
        <w:t>SP CB</w:t>
      </w:r>
      <w:r>
        <w:rPr>
          <w:rFonts w:hint="default"/>
          <w:iCs/>
          <w:szCs w:val="28"/>
          <w:lang w:val="en-US" w:eastAsia="zh-CN"/>
        </w:rPr>
        <w:t xml:space="preserve">, the number of CPU occupied by CSI reporting is </w:t>
      </w:r>
      <w:r>
        <w:rPr>
          <w:rFonts w:hint="eastAsia"/>
          <w:iCs/>
          <w:szCs w:val="28"/>
          <w:lang w:val="en-US" w:eastAsia="zh-CN"/>
        </w:rPr>
        <w:t xml:space="preserve"> </w:t>
      </w:r>
      <m:oMath>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oMath>
      <w:r>
        <w:rPr>
          <w:rFonts w:hint="default"/>
          <w:iCs/>
          <w:szCs w:val="28"/>
          <w:lang w:val="en-US" w:eastAsia="zh-CN"/>
        </w:rPr>
        <w:t xml:space="preserve">, which is not related to other factors such as the number of antenna ports. Therefore, we propose reusing the number of CPU occupied by CSI reporting as equal to </w:t>
      </w:r>
      <m:oMath>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oMath>
      <w:r>
        <w:rPr>
          <w:rFonts w:hint="default"/>
          <w:iCs/>
          <w:szCs w:val="28"/>
          <w:lang w:val="en-US" w:eastAsia="zh-CN"/>
        </w:rPr>
        <w:t xml:space="preserve"> for the CRI-based CSI refinement based on Rel-15 </w:t>
      </w:r>
      <w:r>
        <w:rPr>
          <w:rFonts w:hint="eastAsia"/>
          <w:iCs/>
          <w:szCs w:val="28"/>
          <w:lang w:val="en-US" w:eastAsia="zh-CN"/>
        </w:rPr>
        <w:t>SP CB</w:t>
      </w:r>
      <w:r>
        <w:rPr>
          <w:rFonts w:hint="default"/>
          <w:iCs/>
          <w:szCs w:val="28"/>
          <w:lang w:val="en-US" w:eastAsia="zh-CN"/>
        </w:rPr>
        <w:t>, since the number of CSI-RS resources remains unchanged.</w:t>
      </w:r>
    </w:p>
    <w:p>
      <w:pPr>
        <w:rPr>
          <w:rFonts w:hint="default"/>
          <w:iCs/>
          <w:szCs w:val="28"/>
          <w:lang w:val="en-US" w:eastAsia="zh-CN"/>
        </w:rPr>
      </w:pPr>
      <w:r>
        <w:rPr>
          <w:rFonts w:hint="default"/>
          <w:iCs/>
          <w:szCs w:val="28"/>
          <w:lang w:val="en-US" w:eastAsia="zh-CN"/>
        </w:rPr>
        <w:t xml:space="preserve">Furthermore, for Rel-15 Type-I </w:t>
      </w:r>
      <w:r>
        <w:rPr>
          <w:rFonts w:hint="eastAsia"/>
          <w:iCs/>
          <w:szCs w:val="28"/>
          <w:lang w:val="en-US" w:eastAsia="zh-CN"/>
        </w:rPr>
        <w:t>SP CB</w:t>
      </w:r>
      <w:r>
        <w:rPr>
          <w:rFonts w:hint="default"/>
          <w:iCs/>
          <w:szCs w:val="28"/>
          <w:lang w:val="en-US" w:eastAsia="zh-CN"/>
        </w:rPr>
        <w:t xml:space="preserve">, if </w:t>
      </w:r>
      <m:oMath>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r>
          <m:rPr/>
          <w:rPr>
            <w:rFonts w:ascii="Cambria Math" w:hAnsi="Cambria Math" w:eastAsia="MS Mincho"/>
            <w:color w:val="auto"/>
          </w:rPr>
          <m:t>=2</m:t>
        </m:r>
      </m:oMath>
      <w:r>
        <w:rPr>
          <w:rFonts w:hint="default"/>
          <w:iCs/>
          <w:szCs w:val="28"/>
          <w:lang w:val="en-US" w:eastAsia="zh-CN"/>
        </w:rPr>
        <w:t xml:space="preserve"> CSI-RS resources are configured, each resource should contain a maximum of 16 CSI-RS ports. If </w:t>
      </w:r>
      <m:oMath>
        <m:r>
          <m:rPr/>
          <w:rPr>
            <w:rFonts w:ascii="Cambria Math" w:hAnsi="Cambria Math" w:eastAsia="MS Mincho"/>
            <w:color w:val="auto"/>
          </w:rPr>
          <m:t>2&lt;</m:t>
        </m:r>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r>
          <m:rPr/>
          <w:rPr>
            <w:rFonts w:ascii="Cambria Math" w:hAnsi="Cambria Math" w:eastAsia="MS Mincho"/>
            <w:color w:val="auto"/>
          </w:rPr>
          <m:t>≤8</m:t>
        </m:r>
      </m:oMath>
      <w:r>
        <m:rPr/>
        <w:rPr>
          <w:rFonts w:hint="eastAsia" w:hAnsi="Cambria Math" w:eastAsia="宋体"/>
          <w:i w:val="0"/>
          <w:color w:val="auto"/>
          <w:lang w:val="en-US" w:eastAsia="zh-CN"/>
        </w:rPr>
        <w:t xml:space="preserve"> </w:t>
      </w:r>
      <w:r>
        <w:rPr>
          <w:rFonts w:hint="default"/>
          <w:iCs/>
          <w:szCs w:val="28"/>
          <w:lang w:val="en-US" w:eastAsia="zh-CN"/>
        </w:rPr>
        <w:t>CSI-RS resources are configured, each resource should contain a maximum of 8 CSI-RS ports. However, for the CRI-based CSI refinement based on Rel-15</w:t>
      </w:r>
      <w:r>
        <w:rPr>
          <w:rFonts w:hint="eastAsia"/>
          <w:iCs/>
          <w:szCs w:val="28"/>
          <w:lang w:val="en-US" w:eastAsia="zh-CN"/>
        </w:rPr>
        <w:t xml:space="preserve"> Type-I SP CB</w:t>
      </w:r>
      <w:r>
        <w:rPr>
          <w:rFonts w:hint="default"/>
          <w:iCs/>
          <w:szCs w:val="28"/>
          <w:lang w:val="en-US" w:eastAsia="zh-CN"/>
        </w:rPr>
        <w:t xml:space="preserve">, the maximum number of CSI-RS ports is 32 for each CSI-RS resource. </w:t>
      </w:r>
      <w:r>
        <w:rPr>
          <w:rFonts w:hint="eastAsia"/>
          <w:iCs/>
          <w:szCs w:val="28"/>
          <w:lang w:val="en-US" w:eastAsia="zh-CN"/>
        </w:rPr>
        <w:t xml:space="preserve">The legacy timeline </w:t>
      </w:r>
      <w:r>
        <w:rPr>
          <w:iCs/>
          <w:szCs w:val="20"/>
        </w:rPr>
        <w:t>Z/Z’</w:t>
      </w:r>
      <w:r>
        <w:rPr>
          <w:rFonts w:hint="eastAsia"/>
          <w:iCs/>
          <w:szCs w:val="20"/>
          <w:lang w:val="en-US" w:eastAsia="zh-CN"/>
        </w:rPr>
        <w:t xml:space="preserve"> should be extended. </w:t>
      </w:r>
      <w:r>
        <w:rPr>
          <w:rFonts w:hint="default"/>
          <w:iCs/>
          <w:szCs w:val="28"/>
          <w:lang w:val="en-US" w:eastAsia="zh-CN"/>
        </w:rPr>
        <w:t xml:space="preserve">Therefore, </w:t>
      </w:r>
      <w:r>
        <w:rPr>
          <w:iCs/>
          <w:szCs w:val="20"/>
        </w:rPr>
        <w:t>regarding timeline</w:t>
      </w:r>
      <w:r>
        <w:rPr>
          <w:rFonts w:hint="eastAsia"/>
          <w:iCs/>
          <w:szCs w:val="20"/>
          <w:lang w:val="en-US" w:eastAsia="zh-CN"/>
        </w:rPr>
        <w:t xml:space="preserve"> </w:t>
      </w:r>
      <w:bookmarkStart w:id="16" w:name="OLE_LINK2"/>
      <w:r>
        <w:rPr>
          <w:iCs/>
          <w:szCs w:val="20"/>
        </w:rPr>
        <w:t>Z/Z’</w:t>
      </w:r>
      <w:bookmarkEnd w:id="16"/>
      <w:r>
        <w:rPr>
          <w:rFonts w:hint="default"/>
          <w:iCs/>
          <w:szCs w:val="28"/>
          <w:lang w:val="en-US" w:eastAsia="zh-CN"/>
        </w:rPr>
        <w:t>, we propose introducing two UE capabilities as follows:</w:t>
      </w:r>
    </w:p>
    <w:p>
      <w:pPr>
        <w:widowControl w:val="0"/>
        <w:numPr>
          <w:ilvl w:val="0"/>
          <w:numId w:val="6"/>
        </w:numPr>
        <w:snapToGrid w:val="0"/>
        <w:rPr>
          <w:iCs/>
          <w:szCs w:val="20"/>
        </w:rPr>
      </w:pPr>
      <w:r>
        <w:rPr>
          <w:bCs/>
          <w:iCs/>
          <w:szCs w:val="20"/>
        </w:rPr>
        <w:t>Capability 1: Reuse legacy Z/Z’ values</w:t>
      </w:r>
    </w:p>
    <w:p>
      <w:pPr>
        <w:widowControl w:val="0"/>
        <w:numPr>
          <w:ilvl w:val="0"/>
          <w:numId w:val="6"/>
        </w:numPr>
        <w:snapToGrid w:val="0"/>
        <w:rPr>
          <w:iCs/>
          <w:szCs w:val="20"/>
        </w:rPr>
      </w:pPr>
      <w:r>
        <w:rPr>
          <w:bCs/>
          <w:iCs/>
          <w:szCs w:val="20"/>
        </w:rPr>
        <w:t xml:space="preserve">Capability 2: </w:t>
      </w:r>
      <w:r>
        <w:rPr>
          <w:iCs/>
          <w:szCs w:val="20"/>
        </w:rPr>
        <w:t xml:space="preserve">Scale the legacy timeline </w:t>
      </w:r>
      <w:bookmarkStart w:id="17" w:name="OLE_LINK5"/>
      <w:r>
        <w:rPr>
          <w:iCs/>
          <w:szCs w:val="20"/>
        </w:rPr>
        <w:t>Z/Z’</w:t>
      </w:r>
      <w:bookmarkEnd w:id="17"/>
      <w:r>
        <w:rPr>
          <w:iCs/>
          <w:szCs w:val="20"/>
        </w:rPr>
        <w:t xml:space="preserve"> by ceil(P/</w:t>
      </w:r>
      <w:r>
        <w:rPr>
          <w:rFonts w:hint="eastAsia"/>
          <w:iCs/>
          <w:szCs w:val="20"/>
          <w:lang w:val="en-US" w:eastAsia="zh-CN"/>
        </w:rPr>
        <w:t>8</w:t>
      </w:r>
      <w:r>
        <w:rPr>
          <w:iCs/>
          <w:szCs w:val="20"/>
        </w:rPr>
        <w:t>)</w:t>
      </w:r>
      <w:r>
        <w:rPr>
          <w:rFonts w:hint="eastAsia"/>
          <w:iCs/>
          <w:szCs w:val="20"/>
          <w:lang w:val="en-US" w:eastAsia="zh-CN"/>
        </w:rPr>
        <w:t xml:space="preserve"> or ceil(P/16)</w:t>
      </w:r>
      <w:r>
        <w:rPr>
          <w:iCs/>
          <w:szCs w:val="20"/>
        </w:rPr>
        <w:t xml:space="preserve"> where P is the total number of ports across all the </w:t>
      </w:r>
      <m:oMath>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oMath>
      <w:r>
        <w:rPr>
          <w:iCs/>
          <w:szCs w:val="20"/>
        </w:rPr>
        <w:t xml:space="preserve"> aggregated CSI-RS resources</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For </w:t>
      </w:r>
      <w:r>
        <w:rPr>
          <w:rFonts w:hint="eastAsia"/>
          <w:b/>
          <w:i/>
          <w:sz w:val="22"/>
          <w:szCs w:val="22"/>
          <w:lang w:val="en-US" w:eastAsia="zh-CN"/>
        </w:rPr>
        <w:t xml:space="preserve">CRI-based CSI refinement </w:t>
      </w:r>
      <w:r>
        <w:rPr>
          <w:rFonts w:hint="eastAsia"/>
          <w:b/>
          <w:i/>
          <w:sz w:val="22"/>
          <w:szCs w:val="22"/>
          <w:lang w:val="en-US" w:eastAsia="zh-CN"/>
        </w:rPr>
        <w:t xml:space="preserve">based on Rel-15 </w:t>
      </w:r>
      <w:bookmarkStart w:id="18" w:name="OLE_LINK28"/>
      <w:r>
        <w:rPr>
          <w:rFonts w:hint="eastAsia"/>
          <w:b/>
          <w:i/>
          <w:sz w:val="22"/>
          <w:szCs w:val="22"/>
          <w:lang w:val="en-US" w:eastAsia="zh-CN"/>
        </w:rPr>
        <w:t>Type-I</w:t>
      </w:r>
      <w:bookmarkEnd w:id="18"/>
      <w:r>
        <w:rPr>
          <w:rFonts w:hint="eastAsia"/>
          <w:b/>
          <w:i/>
          <w:sz w:val="22"/>
          <w:szCs w:val="22"/>
          <w:lang w:val="en-US" w:eastAsia="zh-CN"/>
        </w:rPr>
        <w:t xml:space="preserve"> SP CB , </w:t>
      </w:r>
      <w:bookmarkStart w:id="19" w:name="OLE_LINK25"/>
      <w:r>
        <w:rPr>
          <w:rFonts w:hint="eastAsia"/>
          <w:b/>
          <w:bCs/>
          <w:i/>
          <w:iCs w:val="0"/>
          <w:sz w:val="22"/>
          <w:szCs w:val="22"/>
          <w:lang w:val="en-US" w:eastAsia="zh-CN"/>
        </w:rPr>
        <w:t xml:space="preserve">support </w:t>
      </w:r>
      <w:bookmarkEnd w:id="19"/>
      <w:r>
        <w:rPr>
          <w:rFonts w:eastAsia="Malgun Gothic" w:cstheme="minorHAnsi"/>
          <w:b/>
          <w:bCs/>
          <w:i/>
          <w:iCs w:val="0"/>
          <w:sz w:val="22"/>
          <w:szCs w:val="22"/>
          <w:lang w:val="en-GB"/>
        </w:rPr>
        <w:t>O</w:t>
      </w:r>
      <w:r>
        <w:rPr>
          <w:rFonts w:eastAsia="Malgun Gothic" w:cstheme="minorHAnsi"/>
          <w:b/>
          <w:bCs/>
          <w:i/>
          <w:iCs w:val="0"/>
          <w:sz w:val="22"/>
          <w:szCs w:val="22"/>
          <w:vertAlign w:val="subscript"/>
          <w:lang w:val="en-GB"/>
        </w:rPr>
        <w:t>CPU</w:t>
      </w:r>
      <w:r>
        <w:rPr>
          <w:rFonts w:hint="eastAsia" w:eastAsia="宋体" w:cstheme="minorHAnsi"/>
          <w:b/>
          <w:bCs/>
          <w:i/>
          <w:iCs w:val="0"/>
          <w:sz w:val="22"/>
          <w:szCs w:val="22"/>
          <w:vertAlign w:val="subscript"/>
          <w:lang w:val="en-US" w:eastAsia="zh-CN"/>
        </w:rPr>
        <w:t xml:space="preserve"> </w:t>
      </w:r>
      <w:r>
        <w:rPr>
          <w:rFonts w:hint="eastAsia"/>
          <w:b/>
          <w:bCs/>
          <w:i/>
          <w:iCs w:val="0"/>
          <w:sz w:val="22"/>
          <w:szCs w:val="22"/>
          <w:lang w:val="en-US" w:eastAsia="zh-CN"/>
        </w:rPr>
        <w:t xml:space="preserve">= </w:t>
      </w:r>
      <m:oMath>
        <m:sSub>
          <m:sSubPr>
            <m:ctrlPr>
              <w:rPr>
                <w:rFonts w:ascii="Cambria Math" w:hAnsi="Cambria Math" w:eastAsia="MS Mincho"/>
                <w:b/>
                <w:bCs/>
                <w:i/>
                <w:iCs w:val="0"/>
                <w:color w:val="auto"/>
                <w:sz w:val="22"/>
                <w:szCs w:val="22"/>
              </w:rPr>
            </m:ctrlPr>
          </m:sSubPr>
          <m:e>
            <m:r>
              <m:rPr>
                <m:sty m:val="bi"/>
              </m:rPr>
              <w:rPr>
                <w:rFonts w:hint="default" w:ascii="Cambria Math" w:hAnsi="Cambria Math" w:eastAsia="MS Mincho"/>
                <w:color w:val="auto"/>
                <w:sz w:val="22"/>
                <w:szCs w:val="22"/>
              </w:rPr>
              <m:t>K</m:t>
            </m:r>
            <m:ctrlPr>
              <w:rPr>
                <w:rFonts w:ascii="Cambria Math" w:hAnsi="Cambria Math" w:eastAsia="MS Mincho"/>
                <w:b/>
                <w:bCs/>
                <w:i/>
                <w:iCs w:val="0"/>
                <w:color w:val="auto"/>
                <w:sz w:val="22"/>
                <w:szCs w:val="22"/>
              </w:rPr>
            </m:ctrlPr>
          </m:e>
          <m:sub>
            <m:r>
              <m:rPr>
                <m:sty m:val="bi"/>
              </m:rPr>
              <w:rPr>
                <w:rFonts w:hint="default" w:ascii="Cambria Math" w:hAnsi="Cambria Math" w:eastAsia="MS Mincho"/>
                <w:color w:val="auto"/>
                <w:sz w:val="22"/>
                <w:szCs w:val="22"/>
              </w:rPr>
              <m:t>s</m:t>
            </m:r>
            <m:ctrlPr>
              <w:rPr>
                <w:rFonts w:ascii="Cambria Math" w:hAnsi="Cambria Math" w:eastAsia="MS Mincho"/>
                <w:b/>
                <w:bCs/>
                <w:i/>
                <w:iCs w:val="0"/>
                <w:color w:val="auto"/>
                <w:sz w:val="22"/>
                <w:szCs w:val="22"/>
              </w:rPr>
            </m:ctrlPr>
          </m:sub>
        </m:sSub>
      </m:oMath>
      <w:r>
        <w:rPr>
          <w:rFonts w:hint="eastAsia" w:hAnsi="Cambria Math" w:eastAsia="宋体"/>
          <w:b/>
          <w:bCs/>
          <w:i/>
          <w:iCs w:val="0"/>
          <w:color w:val="auto"/>
          <w:sz w:val="22"/>
          <w:szCs w:val="22"/>
          <w:lang w:val="en-US" w:eastAsia="zh-CN"/>
        </w:rPr>
        <w:t xml:space="preserve">. </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i/>
          <w:sz w:val="22"/>
          <w:szCs w:val="22"/>
          <w:lang w:val="en-US" w:eastAsia="zh-CN"/>
        </w:rPr>
      </w:pPr>
      <w:r>
        <w:rPr>
          <w:rFonts w:hint="eastAsia"/>
          <w:b/>
          <w:i/>
          <w:sz w:val="22"/>
          <w:szCs w:val="22"/>
          <w:lang w:val="en-US" w:eastAsia="zh-CN"/>
        </w:rPr>
        <w:t xml:space="preserve">: For </w:t>
      </w:r>
      <w:r>
        <w:rPr>
          <w:rFonts w:hint="eastAsia"/>
          <w:b/>
          <w:i/>
          <w:sz w:val="22"/>
          <w:szCs w:val="22"/>
          <w:lang w:val="en-US" w:eastAsia="zh-CN"/>
        </w:rPr>
        <w:t xml:space="preserve">CRI-based CSI refinement </w:t>
      </w:r>
      <w:r>
        <w:rPr>
          <w:rFonts w:hint="eastAsia"/>
          <w:b/>
          <w:i/>
          <w:sz w:val="22"/>
          <w:szCs w:val="22"/>
          <w:lang w:val="en-US" w:eastAsia="zh-CN"/>
        </w:rPr>
        <w:t>based on Rel-15 Type-I SP CB, introduce two UE capabilities:</w:t>
      </w:r>
    </w:p>
    <w:p>
      <w:pPr>
        <w:widowControl w:val="0"/>
        <w:numPr>
          <w:numId w:val="0"/>
        </w:numPr>
        <w:snapToGrid w:val="0"/>
        <w:ind w:left="1080" w:leftChars="0"/>
        <w:rPr>
          <w:b/>
          <w:bCs w:val="0"/>
          <w:i/>
          <w:iCs w:val="0"/>
          <w:sz w:val="22"/>
          <w:szCs w:val="22"/>
        </w:rPr>
      </w:pPr>
      <w:r>
        <w:rPr>
          <w:b/>
          <w:bCs w:val="0"/>
          <w:i/>
          <w:iCs w:val="0"/>
          <w:sz w:val="22"/>
          <w:szCs w:val="22"/>
        </w:rPr>
        <w:t xml:space="preserve">Capability 1: Reuse legacy </w:t>
      </w:r>
      <m:oMath>
        <m:sSub>
          <w:bookmarkStart w:id="20" w:name="OLE_LINK26"/>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r>
          <m:rPr>
            <m:sty m:val="bi"/>
          </m:rPr>
          <w:rPr>
            <w:rFonts w:hint="default" w:ascii="Cambria Math" w:hAnsi="Cambria Math"/>
            <w:sz w:val="22"/>
            <w:szCs w:val="22"/>
            <w:highlight w:val="none"/>
            <w:lang w:val="en-US" w:eastAsia="zh-CN"/>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w:bookmarkEnd w:id="20"/>
          </m:sup>
        </m:sSubSup>
      </m:oMath>
      <w:r>
        <w:rPr>
          <w:b/>
          <w:bCs w:val="0"/>
          <w:i/>
          <w:iCs w:val="0"/>
          <w:sz w:val="22"/>
          <w:szCs w:val="22"/>
        </w:rPr>
        <w:t xml:space="preserve"> values</w:t>
      </w:r>
    </w:p>
    <w:p>
      <w:pPr>
        <w:widowControl w:val="0"/>
        <w:numPr>
          <w:numId w:val="0"/>
        </w:numPr>
        <w:snapToGrid w:val="0"/>
        <w:ind w:left="1080" w:leftChars="0"/>
        <w:rPr>
          <w:b/>
          <w:bCs w:val="0"/>
          <w:i/>
          <w:iCs w:val="0"/>
          <w:sz w:val="22"/>
          <w:szCs w:val="22"/>
        </w:rPr>
      </w:pPr>
      <w:r>
        <w:rPr>
          <w:b/>
          <w:bCs w:val="0"/>
          <w:i/>
          <w:iCs w:val="0"/>
          <w:sz w:val="22"/>
          <w:szCs w:val="22"/>
        </w:rPr>
        <w:t xml:space="preserve">Capability 2: Scale the legacy timeline </w:t>
      </w:r>
      <m:oMath>
        <m:sSub>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r>
          <m:rPr>
            <m:sty m:val="bi"/>
          </m:rPr>
          <w:rPr>
            <w:rFonts w:hint="default" w:ascii="Cambria Math" w:hAnsi="Cambria Math"/>
            <w:sz w:val="22"/>
            <w:szCs w:val="22"/>
            <w:highlight w:val="none"/>
            <w:lang w:val="en-US" w:eastAsia="zh-CN"/>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oMath>
      <w:r>
        <w:rPr>
          <w:b/>
          <w:bCs w:val="0"/>
          <w:i/>
          <w:iCs w:val="0"/>
          <w:sz w:val="22"/>
          <w:szCs w:val="22"/>
        </w:rPr>
        <w:t xml:space="preserve"> by ceil(P/</w:t>
      </w:r>
      <w:r>
        <w:rPr>
          <w:rFonts w:hint="eastAsia"/>
          <w:b/>
          <w:bCs w:val="0"/>
          <w:i/>
          <w:iCs w:val="0"/>
          <w:sz w:val="22"/>
          <w:szCs w:val="22"/>
          <w:lang w:val="en-US" w:eastAsia="zh-CN"/>
        </w:rPr>
        <w:t>8</w:t>
      </w:r>
      <w:r>
        <w:rPr>
          <w:b/>
          <w:bCs w:val="0"/>
          <w:i/>
          <w:iCs w:val="0"/>
          <w:sz w:val="22"/>
          <w:szCs w:val="22"/>
        </w:rPr>
        <w:t>)</w:t>
      </w:r>
      <w:r>
        <w:rPr>
          <w:rFonts w:hint="eastAsia"/>
          <w:b/>
          <w:bCs w:val="0"/>
          <w:i/>
          <w:iCs w:val="0"/>
          <w:sz w:val="22"/>
          <w:szCs w:val="22"/>
          <w:lang w:val="en-US" w:eastAsia="zh-CN"/>
        </w:rPr>
        <w:t xml:space="preserve"> or ceil(P/16)</w:t>
      </w:r>
      <w:r>
        <w:rPr>
          <w:b/>
          <w:bCs w:val="0"/>
          <w:i/>
          <w:iCs w:val="0"/>
          <w:sz w:val="22"/>
          <w:szCs w:val="22"/>
        </w:rPr>
        <w:t xml:space="preserve"> where P is the total number of ports across all the </w:t>
      </w:r>
      <m:oMath>
        <m:sSub>
          <m:sSubPr>
            <m:ctrlPr>
              <w:rPr>
                <w:rFonts w:ascii="Cambria Math" w:hAnsi="Cambria Math" w:eastAsia="MS Mincho"/>
                <w:b/>
                <w:bCs w:val="0"/>
                <w:i/>
                <w:iCs w:val="0"/>
                <w:color w:val="auto"/>
                <w:sz w:val="22"/>
                <w:szCs w:val="22"/>
              </w:rPr>
            </m:ctrlPr>
          </m:sSubPr>
          <m:e>
            <m:r>
              <m:rPr>
                <m:sty m:val="bi"/>
              </m:rPr>
              <w:rPr>
                <w:rFonts w:hint="default" w:ascii="Cambria Math" w:hAnsi="Cambria Math" w:eastAsia="MS Mincho"/>
                <w:color w:val="auto"/>
                <w:sz w:val="22"/>
                <w:szCs w:val="22"/>
              </w:rPr>
              <m:t>K</m:t>
            </m:r>
            <m:ctrlPr>
              <w:rPr>
                <w:rFonts w:ascii="Cambria Math" w:hAnsi="Cambria Math" w:eastAsia="MS Mincho"/>
                <w:b/>
                <w:bCs w:val="0"/>
                <w:i/>
                <w:iCs w:val="0"/>
                <w:color w:val="auto"/>
                <w:sz w:val="22"/>
                <w:szCs w:val="22"/>
              </w:rPr>
            </m:ctrlPr>
          </m:e>
          <m:sub>
            <m:r>
              <m:rPr>
                <m:sty m:val="bi"/>
              </m:rPr>
              <w:rPr>
                <w:rFonts w:hint="default" w:ascii="Cambria Math" w:hAnsi="Cambria Math" w:eastAsia="MS Mincho"/>
                <w:color w:val="auto"/>
                <w:sz w:val="22"/>
                <w:szCs w:val="22"/>
              </w:rPr>
              <m:t>s</m:t>
            </m:r>
            <m:ctrlPr>
              <w:rPr>
                <w:rFonts w:ascii="Cambria Math" w:hAnsi="Cambria Math" w:eastAsia="MS Mincho"/>
                <w:b/>
                <w:bCs w:val="0"/>
                <w:i/>
                <w:iCs w:val="0"/>
                <w:color w:val="auto"/>
                <w:sz w:val="22"/>
                <w:szCs w:val="22"/>
              </w:rPr>
            </m:ctrlPr>
          </m:sub>
        </m:sSub>
      </m:oMath>
      <w:r>
        <w:rPr>
          <w:b/>
          <w:bCs w:val="0"/>
          <w:i/>
          <w:iCs w:val="0"/>
          <w:sz w:val="22"/>
          <w:szCs w:val="22"/>
        </w:rPr>
        <w:t xml:space="preserve"> aggregated CSI-RS resources</w:t>
      </w:r>
    </w:p>
    <w:p>
      <w:pPr>
        <w:widowControl w:val="0"/>
        <w:numPr>
          <w:ilvl w:val="0"/>
          <w:numId w:val="0"/>
        </w:numPr>
        <w:snapToGrid w:val="0"/>
        <w:rPr>
          <w:iCs/>
          <w:szCs w:val="20"/>
        </w:rPr>
      </w:pPr>
    </w:p>
    <w:p>
      <w:pPr>
        <w:widowControl w:val="0"/>
        <w:numPr>
          <w:ilvl w:val="0"/>
          <w:numId w:val="0"/>
        </w:numPr>
        <w:snapToGrid w:val="0"/>
        <w:rPr>
          <w:rFonts w:hint="eastAsia"/>
          <w:iCs/>
          <w:szCs w:val="20"/>
        </w:rPr>
      </w:pPr>
      <w:r>
        <w:rPr>
          <w:rFonts w:hint="eastAsia"/>
          <w:iCs/>
          <w:szCs w:val="20"/>
        </w:rPr>
        <w:t xml:space="preserve">For Rel-16 Type-II codebook, the number of CPUs occupied by CSI reporting is denoted as </w:t>
      </w:r>
      <m:oMath>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oMath>
      <w:r>
        <w:rPr>
          <w:rFonts w:hint="eastAsia"/>
          <w:iCs/>
          <w:szCs w:val="20"/>
        </w:rPr>
        <w:t xml:space="preserve">. This value is not related to other factors, such as the number of antenna ports. Therefore, we propose reusing the number of CPUs occupied by CSI reporting as </w:t>
      </w:r>
      <m:oMath>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oMath>
      <w:r>
        <w:rPr>
          <w:rFonts w:hint="eastAsia"/>
          <w:iCs/>
          <w:szCs w:val="20"/>
        </w:rPr>
        <w:t>for the CRI-based CSI refinement based on Rel-16 Type-II codebook, as the number of CSI-RS resources remains unchanged.</w:t>
      </w:r>
    </w:p>
    <w:p>
      <w:pPr>
        <w:widowControl w:val="0"/>
        <w:numPr>
          <w:ilvl w:val="0"/>
          <w:numId w:val="0"/>
        </w:numPr>
        <w:snapToGrid w:val="0"/>
        <w:rPr>
          <w:iCs/>
          <w:szCs w:val="20"/>
        </w:rPr>
      </w:pPr>
      <w:r>
        <w:rPr>
          <w:rFonts w:hint="eastAsia"/>
          <w:iCs/>
          <w:szCs w:val="20"/>
        </w:rPr>
        <w:t xml:space="preserve">Furthermore, for Rel-16 Type-II codebook, when the NW configures one CSI-RS resource, the legacy timeline is expressed as Z2/Z2'. As decided in the last meeting, the maximum number of CSI-RS resources is </w:t>
      </w:r>
      <m:oMath>
        <m:sSub>
          <m:sSubPr>
            <m:ctrlPr>
              <w:rPr>
                <w:rFonts w:ascii="Cambria Math" w:hAnsi="Cambria Math" w:eastAsia="MS Mincho"/>
                <w:i/>
                <w:color w:val="auto"/>
              </w:rPr>
            </m:ctrlPr>
          </m:sSubPr>
          <m:e>
            <m:r>
              <m:rPr/>
              <w:rPr>
                <w:rFonts w:ascii="Cambria Math" w:hAnsi="Cambria Math" w:eastAsia="MS Mincho"/>
                <w:color w:val="auto"/>
              </w:rPr>
              <m:t>K</m:t>
            </m:r>
            <m:ctrlPr>
              <w:rPr>
                <w:rFonts w:ascii="Cambria Math" w:hAnsi="Cambria Math" w:eastAsia="MS Mincho"/>
                <w:i/>
                <w:color w:val="auto"/>
              </w:rPr>
            </m:ctrlPr>
          </m:e>
          <m:sub>
            <m:r>
              <m:rPr/>
              <w:rPr>
                <w:rFonts w:ascii="Cambria Math" w:hAnsi="Cambria Math" w:eastAsia="MS Mincho"/>
                <w:color w:val="auto"/>
              </w:rPr>
              <m:t>s</m:t>
            </m:r>
            <m:ctrlPr>
              <w:rPr>
                <w:rFonts w:ascii="Cambria Math" w:hAnsi="Cambria Math" w:eastAsia="MS Mincho"/>
                <w:i/>
                <w:color w:val="auto"/>
              </w:rPr>
            </m:ctrlPr>
          </m:sub>
        </m:sSub>
      </m:oMath>
      <w:r>
        <w:rPr>
          <w:rFonts w:hint="eastAsia"/>
          <w:iCs/>
          <w:szCs w:val="20"/>
        </w:rPr>
        <w:t>=4, and the CSI associated with each CSI-RS resource is calculated separately, similar to Rel-18 CJT codebook. Therefore, for the CRI-based CSI refinement based on Rel-16 Type-II codebook, the legacy timeline from Rel-18 CJT codebook should be reused. The timeline can be expressed as follows:</w:t>
      </w:r>
    </w:p>
    <w:p>
      <w:pPr>
        <w:widowControl w:val="0"/>
        <w:numPr>
          <w:ilvl w:val="0"/>
          <w:numId w:val="6"/>
        </w:numPr>
        <w:snapToGrid w:val="0"/>
        <w:rPr>
          <w:iCs/>
          <w:szCs w:val="20"/>
          <w:highlight w:val="none"/>
        </w:rPr>
      </w:pPr>
      <w:r>
        <w:rPr>
          <w:bCs/>
          <w:iCs/>
          <w:szCs w:val="20"/>
        </w:rPr>
        <w:t xml:space="preserve">Capability 1: </w:t>
      </w:r>
      <w:r>
        <w:rPr>
          <w:rFonts w:hint="eastAsia"/>
          <w:bCs/>
          <w:iCs/>
          <w:szCs w:val="20"/>
          <w:lang w:val="en-US" w:eastAsia="zh-CN"/>
        </w:rPr>
        <w:t xml:space="preserve"> </w:t>
      </w:r>
      <w:r>
        <w:rPr>
          <w:b w:val="0"/>
          <w:bCs/>
          <w:i w:val="0"/>
          <w:iCs/>
          <w:sz w:val="22"/>
          <w:szCs w:val="22"/>
        </w:rPr>
        <w:t xml:space="preserve">Reuse legacy </w:t>
      </w:r>
      <m:oMath>
        <m:r>
          <m:rPr/>
          <w:rPr>
            <w:rFonts w:ascii="Cambria Math" w:hAnsi="Cambria Math"/>
            <w:sz w:val="22"/>
            <w:szCs w:val="22"/>
            <w:highlight w:val="none"/>
          </w:rPr>
          <m:t>(</m:t>
        </m:r>
        <m:sSub>
          <m:sSubPr>
            <m:ctrlPr>
              <w:rPr>
                <w:rFonts w:ascii="Cambria Math" w:hAnsi="Cambria Math"/>
                <w:b w:val="0"/>
                <w:bCs/>
                <w:i/>
                <w:sz w:val="22"/>
                <w:szCs w:val="22"/>
                <w:highlight w:val="none"/>
              </w:rPr>
            </m:ctrlPr>
          </m:sSubPr>
          <m:e>
            <m:r>
              <m:rPr/>
              <w:rPr>
                <w:rFonts w:hint="default" w:ascii="Cambria Math" w:hAnsi="Cambria Math"/>
                <w:sz w:val="22"/>
                <w:szCs w:val="22"/>
                <w:highlight w:val="none"/>
              </w:rPr>
              <m:t>Z</m:t>
            </m:r>
            <m:ctrlPr>
              <w:rPr>
                <w:rFonts w:ascii="Cambria Math" w:hAnsi="Cambria Math"/>
                <w:b w:val="0"/>
                <w:bCs/>
                <w:i/>
                <w:sz w:val="22"/>
                <w:szCs w:val="22"/>
                <w:highlight w:val="none"/>
              </w:rPr>
            </m:ctrlPr>
          </m:e>
          <m:sub>
            <m:r>
              <m:rPr/>
              <w:rPr>
                <w:rFonts w:hint="default" w:ascii="Cambria Math" w:hAnsi="Cambria Math"/>
                <w:sz w:val="22"/>
                <w:szCs w:val="22"/>
                <w:highlight w:val="none"/>
              </w:rPr>
              <m:t>2</m:t>
            </m:r>
            <m:ctrlPr>
              <w:rPr>
                <w:rFonts w:ascii="Cambria Math" w:hAnsi="Cambria Math"/>
                <w:b w:val="0"/>
                <w:bCs/>
                <w:i/>
                <w:sz w:val="22"/>
                <w:szCs w:val="22"/>
                <w:highlight w:val="none"/>
              </w:rPr>
            </m:ctrlPr>
          </m:sub>
        </m:sSub>
        <m:r>
          <m:rPr/>
          <w:rPr>
            <w:rFonts w:ascii="Cambria Math" w:hAnsi="Cambria Math"/>
            <w:sz w:val="22"/>
            <w:szCs w:val="22"/>
            <w:highlight w:val="none"/>
          </w:rPr>
          <m:t>,</m:t>
        </m:r>
        <m:sSubSup>
          <m:sSubSupPr>
            <m:ctrlPr>
              <w:rPr>
                <w:rFonts w:ascii="Cambria Math" w:hAnsi="Cambria Math"/>
                <w:b w:val="0"/>
                <w:bCs/>
                <w:i/>
                <w:sz w:val="22"/>
                <w:szCs w:val="22"/>
                <w:highlight w:val="none"/>
              </w:rPr>
            </m:ctrlPr>
          </m:sSubSupPr>
          <m:e>
            <m:r>
              <m:rPr/>
              <w:rPr>
                <w:rFonts w:hint="default" w:ascii="Cambria Math" w:hAnsi="Cambria Math"/>
                <w:sz w:val="22"/>
                <w:szCs w:val="22"/>
                <w:highlight w:val="none"/>
              </w:rPr>
              <m:t>Z</m:t>
            </m:r>
            <m:ctrlPr>
              <w:rPr>
                <w:rFonts w:ascii="Cambria Math" w:hAnsi="Cambria Math"/>
                <w:b w:val="0"/>
                <w:bCs/>
                <w:i/>
                <w:sz w:val="22"/>
                <w:szCs w:val="22"/>
                <w:highlight w:val="none"/>
              </w:rPr>
            </m:ctrlPr>
          </m:e>
          <m:sub>
            <m:r>
              <m:rPr/>
              <w:rPr>
                <w:rFonts w:hint="default" w:ascii="Cambria Math" w:hAnsi="Cambria Math"/>
                <w:sz w:val="22"/>
                <w:szCs w:val="22"/>
                <w:highlight w:val="none"/>
              </w:rPr>
              <m:t>2</m:t>
            </m:r>
            <m:ctrlPr>
              <w:rPr>
                <w:rFonts w:ascii="Cambria Math" w:hAnsi="Cambria Math"/>
                <w:b w:val="0"/>
                <w:bCs/>
                <w:i/>
                <w:sz w:val="22"/>
                <w:szCs w:val="22"/>
                <w:highlight w:val="none"/>
              </w:rPr>
            </m:ctrlPr>
          </m:sub>
          <m:sup>
            <m:r>
              <m:rPr/>
              <w:rPr>
                <w:rFonts w:ascii="Cambria Math" w:hAnsi="Cambria Math"/>
                <w:sz w:val="22"/>
                <w:szCs w:val="22"/>
                <w:highlight w:val="none"/>
              </w:rPr>
              <m:t>'</m:t>
            </m:r>
            <m:ctrlPr>
              <w:rPr>
                <w:rFonts w:ascii="Cambria Math" w:hAnsi="Cambria Math"/>
                <w:b w:val="0"/>
                <w:bCs/>
                <w:i/>
                <w:sz w:val="22"/>
                <w:szCs w:val="22"/>
                <w:highlight w:val="none"/>
              </w:rPr>
            </m:ctrlPr>
          </m:sup>
        </m:sSubSup>
        <m:r>
          <m:rPr/>
          <w:rPr>
            <w:rFonts w:ascii="Cambria Math" w:hAnsi="Cambria Math"/>
            <w:sz w:val="22"/>
            <w:szCs w:val="22"/>
            <w:highlight w:val="none"/>
          </w:rPr>
          <m:t>)</m:t>
        </m:r>
      </m:oMath>
      <w:r>
        <w:rPr>
          <w:b/>
          <w:bCs w:val="0"/>
          <w:i/>
          <w:iCs w:val="0"/>
          <w:sz w:val="22"/>
          <w:szCs w:val="22"/>
        </w:rPr>
        <w:t xml:space="preserve"> </w:t>
      </w:r>
      <w:r>
        <w:rPr>
          <w:b w:val="0"/>
          <w:bCs/>
          <w:i w:val="0"/>
          <w:iCs/>
          <w:sz w:val="22"/>
          <w:szCs w:val="22"/>
        </w:rPr>
        <w:t xml:space="preserve"> values</w:t>
      </w:r>
    </w:p>
    <w:p>
      <w:pPr>
        <w:widowControl w:val="0"/>
        <w:numPr>
          <w:ilvl w:val="0"/>
          <w:numId w:val="6"/>
        </w:numPr>
        <w:snapToGrid w:val="0"/>
        <w:rPr>
          <w:iCs/>
          <w:szCs w:val="20"/>
          <w:highlight w:val="none"/>
        </w:rPr>
      </w:pPr>
      <w:r>
        <w:rPr>
          <w:bCs/>
          <w:iCs/>
          <w:szCs w:val="20"/>
          <w:highlight w:val="none"/>
        </w:rPr>
        <w:t xml:space="preserve">Capability 2: </w:t>
      </w:r>
      <w:r>
        <w:rPr>
          <w:rFonts w:hint="eastAsia"/>
          <w:bCs/>
          <w:iCs/>
          <w:szCs w:val="20"/>
          <w:highlight w:val="none"/>
          <w:lang w:val="en-US" w:eastAsia="zh-CN"/>
        </w:rPr>
        <w:t xml:space="preserve">Reuse legacy </w:t>
      </w:r>
      <m:oMath>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Z</m:t>
            </m:r>
            <m:ctrlPr>
              <w:rPr>
                <w:rFonts w:ascii="Cambria Math" w:hAnsi="Cambria Math"/>
                <w:i/>
                <w:highlight w:val="none"/>
              </w:rPr>
            </m:ctrlPr>
          </m:e>
          <m:sub>
            <m:r>
              <m:rPr/>
              <w:rPr>
                <w:rFonts w:ascii="Cambria Math" w:hAnsi="Cambria Math"/>
                <w:highlight w:val="none"/>
              </w:rPr>
              <m:t>2</m:t>
            </m:r>
            <m:ctrlPr>
              <w:rPr>
                <w:rFonts w:ascii="Cambria Math" w:hAnsi="Cambria Math"/>
                <w:i/>
                <w:highlight w:val="none"/>
              </w:rPr>
            </m:ctrlPr>
          </m:sub>
        </m:sSub>
        <m:sSubSup>
          <m:sSubSupPr>
            <m:ctrlPr>
              <w:rPr>
                <w:rFonts w:ascii="Cambria Math" w:hAnsi="Cambria Math"/>
                <w:i/>
                <w:highlight w:val="none"/>
              </w:rPr>
            </m:ctrlPr>
          </m:sSubSupPr>
          <m:e>
            <m:r>
              <m:rPr/>
              <w:rPr>
                <w:rFonts w:hint="default" w:ascii="Cambria Math" w:hAnsi="Cambria Math"/>
                <w:highlight w:val="none"/>
                <w:lang w:val="en-US" w:eastAsia="zh-CN"/>
              </w:rPr>
              <m:t>+</m:t>
            </m:r>
            <m:r>
              <m:rPr/>
              <w:rPr>
                <w:rFonts w:ascii="Cambria Math" w:hAnsi="Cambria Math"/>
                <w:highlight w:val="none"/>
              </w:rPr>
              <m:t>Z</m:t>
            </m:r>
            <m:ctrlPr>
              <w:rPr>
                <w:rFonts w:ascii="Cambria Math" w:hAnsi="Cambria Math"/>
                <w:i/>
                <w:highlight w:val="none"/>
              </w:rPr>
            </m:ctrlPr>
          </m:e>
          <m:sub>
            <m:r>
              <m:rPr/>
              <w:rPr>
                <w:rFonts w:ascii="Cambria Math" w:hAnsi="Cambria Math"/>
                <w:highlight w:val="none"/>
              </w:rPr>
              <m:t>2</m:t>
            </m:r>
            <m:ctrlPr>
              <w:rPr>
                <w:rFonts w:ascii="Cambria Math" w:hAnsi="Cambria Math"/>
                <w:i/>
                <w:highlight w:val="none"/>
              </w:rPr>
            </m:ctrlPr>
          </m:sub>
          <m:sup>
            <m:r>
              <m:rPr/>
              <w:rPr>
                <w:rFonts w:ascii="Cambria Math" w:hAnsi="Cambria Math"/>
                <w:highlight w:val="none"/>
              </w:rPr>
              <m:t>'</m:t>
            </m:r>
            <m:ctrlPr>
              <w:rPr>
                <w:rFonts w:ascii="Cambria Math" w:hAnsi="Cambria Math"/>
                <w:i/>
                <w:highlight w:val="none"/>
              </w:rPr>
            </m:ctrlPr>
          </m:sup>
        </m:sSubSup>
        <m:r>
          <m:rPr/>
          <w:rPr>
            <w:rFonts w:ascii="Cambria Math" w:hAnsi="Cambria Math"/>
            <w:highlight w:val="none"/>
          </w:rPr>
          <m:t>,</m:t>
        </m:r>
        <m:sSubSup>
          <w:bookmarkStart w:id="21" w:name="OLE_LINK27"/>
          <m:sSubSupPr>
            <m:ctrlPr>
              <w:rPr>
                <w:rFonts w:ascii="Cambria Math" w:hAnsi="Cambria Math"/>
                <w:i/>
                <w:highlight w:val="none"/>
              </w:rPr>
            </m:ctrlPr>
          </m:sSubSupPr>
          <m:e>
            <m:r>
              <m:rPr/>
              <w:rPr>
                <w:rFonts w:hint="default" w:ascii="Cambria Math" w:hAnsi="Cambria Math"/>
                <w:highlight w:val="none"/>
                <w:lang w:val="en-US" w:eastAsia="zh-CN"/>
              </w:rPr>
              <m:t>2</m:t>
            </m:r>
            <m:r>
              <m:rPr/>
              <w:rPr>
                <w:rFonts w:ascii="Cambria Math" w:hAnsi="Cambria Math"/>
                <w:highlight w:val="none"/>
              </w:rPr>
              <m:t>Z</m:t>
            </m:r>
            <m:ctrlPr>
              <w:rPr>
                <w:rFonts w:ascii="Cambria Math" w:hAnsi="Cambria Math"/>
                <w:i/>
                <w:highlight w:val="none"/>
              </w:rPr>
            </m:ctrlPr>
          </m:e>
          <m:sub>
            <m:r>
              <m:rPr/>
              <w:rPr>
                <w:rFonts w:ascii="Cambria Math" w:hAnsi="Cambria Math"/>
                <w:highlight w:val="none"/>
              </w:rPr>
              <m:t>2</m:t>
            </m:r>
            <m:ctrlPr>
              <w:rPr>
                <w:rFonts w:ascii="Cambria Math" w:hAnsi="Cambria Math"/>
                <w:i/>
                <w:highlight w:val="none"/>
              </w:rPr>
            </m:ctrlPr>
          </m:sub>
          <m:sup>
            <m:r>
              <m:rPr/>
              <w:rPr>
                <w:rFonts w:ascii="Cambria Math" w:hAnsi="Cambria Math"/>
                <w:highlight w:val="none"/>
              </w:rPr>
              <m:t>'</m:t>
            </m:r>
            <w:bookmarkEnd w:id="21"/>
            <m:ctrlPr>
              <w:rPr>
                <w:rFonts w:ascii="Cambria Math" w:hAnsi="Cambria Math"/>
                <w:i/>
                <w:highlight w:val="none"/>
              </w:rPr>
            </m:ctrlPr>
          </m:sup>
        </m:sSubSup>
        <m:r>
          <m:rPr/>
          <w:rPr>
            <w:rFonts w:ascii="Cambria Math" w:hAnsi="Cambria Math"/>
            <w:highlight w:val="none"/>
          </w:rPr>
          <m:t>)</m:t>
        </m:r>
      </m:oMath>
      <w:r>
        <m:rPr/>
        <w:rPr>
          <w:rFonts w:hint="eastAsia" w:hAnsi="Cambria Math"/>
          <w:i w:val="0"/>
          <w:highlight w:val="none"/>
          <w:lang w:val="en-US" w:eastAsia="zh-CN"/>
        </w:rPr>
        <w:t xml:space="preserve"> for Rel-18 CJT</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For CRI-based CSI refinement based on </w:t>
      </w:r>
      <w:bookmarkStart w:id="22" w:name="OLE_LINK29"/>
      <w:r>
        <w:rPr>
          <w:rFonts w:hint="eastAsia"/>
          <w:b/>
          <w:i/>
          <w:sz w:val="22"/>
          <w:szCs w:val="22"/>
          <w:lang w:val="en-US" w:eastAsia="zh-CN"/>
        </w:rPr>
        <w:t>Rel-16 Type-II</w:t>
      </w:r>
      <w:bookmarkEnd w:id="22"/>
      <w:r>
        <w:rPr>
          <w:rFonts w:hint="eastAsia"/>
          <w:b/>
          <w:i/>
          <w:sz w:val="22"/>
          <w:szCs w:val="22"/>
          <w:lang w:val="en-US" w:eastAsia="zh-CN"/>
        </w:rPr>
        <w:t xml:space="preserve"> codebook, </w:t>
      </w:r>
      <w:r>
        <w:rPr>
          <w:rFonts w:hint="eastAsia"/>
          <w:b/>
          <w:bCs/>
          <w:i/>
          <w:iCs w:val="0"/>
          <w:sz w:val="22"/>
          <w:szCs w:val="22"/>
          <w:lang w:val="en-US" w:eastAsia="zh-CN"/>
        </w:rPr>
        <w:t xml:space="preserve">support </w:t>
      </w:r>
      <w:r>
        <w:rPr>
          <w:rFonts w:eastAsia="Malgun Gothic" w:cstheme="minorHAnsi"/>
          <w:b/>
          <w:bCs/>
          <w:i/>
          <w:iCs w:val="0"/>
          <w:sz w:val="22"/>
          <w:szCs w:val="22"/>
          <w:lang w:val="en-GB"/>
        </w:rPr>
        <w:t>O</w:t>
      </w:r>
      <w:r>
        <w:rPr>
          <w:rFonts w:eastAsia="Malgun Gothic" w:cstheme="minorHAnsi"/>
          <w:b/>
          <w:bCs/>
          <w:i/>
          <w:iCs w:val="0"/>
          <w:sz w:val="22"/>
          <w:szCs w:val="22"/>
          <w:vertAlign w:val="subscript"/>
          <w:lang w:val="en-GB"/>
        </w:rPr>
        <w:t>CPU</w:t>
      </w:r>
      <w:r>
        <w:rPr>
          <w:rFonts w:hint="eastAsia" w:eastAsia="宋体" w:cstheme="minorHAnsi"/>
          <w:b/>
          <w:bCs/>
          <w:i/>
          <w:iCs w:val="0"/>
          <w:sz w:val="22"/>
          <w:szCs w:val="22"/>
          <w:vertAlign w:val="subscript"/>
          <w:lang w:val="en-US" w:eastAsia="zh-CN"/>
        </w:rPr>
        <w:t xml:space="preserve"> </w:t>
      </w:r>
      <w:r>
        <w:rPr>
          <w:rFonts w:hint="eastAsia"/>
          <w:b/>
          <w:bCs/>
          <w:i/>
          <w:iCs w:val="0"/>
          <w:sz w:val="22"/>
          <w:szCs w:val="22"/>
          <w:lang w:val="en-US" w:eastAsia="zh-CN"/>
        </w:rPr>
        <w:t xml:space="preserve">= </w:t>
      </w:r>
      <m:oMath>
        <m:sSub>
          <m:sSubPr>
            <m:ctrlPr>
              <w:rPr>
                <w:rFonts w:ascii="Cambria Math" w:hAnsi="Cambria Math" w:eastAsia="MS Mincho"/>
                <w:b/>
                <w:bCs/>
                <w:i/>
                <w:iCs w:val="0"/>
                <w:color w:val="auto"/>
                <w:sz w:val="22"/>
                <w:szCs w:val="22"/>
              </w:rPr>
            </m:ctrlPr>
          </m:sSubPr>
          <m:e>
            <m:r>
              <m:rPr>
                <m:sty m:val="bi"/>
              </m:rPr>
              <w:rPr>
                <w:rFonts w:hint="default" w:ascii="Cambria Math" w:hAnsi="Cambria Math" w:eastAsia="MS Mincho"/>
                <w:color w:val="auto"/>
                <w:sz w:val="22"/>
                <w:szCs w:val="22"/>
              </w:rPr>
              <m:t>K</m:t>
            </m:r>
            <m:ctrlPr>
              <w:rPr>
                <w:rFonts w:ascii="Cambria Math" w:hAnsi="Cambria Math" w:eastAsia="MS Mincho"/>
                <w:b/>
                <w:bCs/>
                <w:i/>
                <w:iCs w:val="0"/>
                <w:color w:val="auto"/>
                <w:sz w:val="22"/>
                <w:szCs w:val="22"/>
              </w:rPr>
            </m:ctrlPr>
          </m:e>
          <m:sub>
            <m:r>
              <m:rPr>
                <m:sty m:val="bi"/>
              </m:rPr>
              <w:rPr>
                <w:rFonts w:hint="default" w:ascii="Cambria Math" w:hAnsi="Cambria Math" w:eastAsia="MS Mincho"/>
                <w:color w:val="auto"/>
                <w:sz w:val="22"/>
                <w:szCs w:val="22"/>
              </w:rPr>
              <m:t>s</m:t>
            </m:r>
            <m:ctrlPr>
              <w:rPr>
                <w:rFonts w:ascii="Cambria Math" w:hAnsi="Cambria Math" w:eastAsia="MS Mincho"/>
                <w:b/>
                <w:bCs/>
                <w:i/>
                <w:iCs w:val="0"/>
                <w:color w:val="auto"/>
                <w:sz w:val="22"/>
                <w:szCs w:val="22"/>
              </w:rPr>
            </m:ctrlPr>
          </m:sub>
        </m:sSub>
      </m:oMath>
      <w:r>
        <w:rPr>
          <w:rFonts w:hint="eastAsia" w:hAnsi="Cambria Math" w:eastAsia="宋体"/>
          <w:b/>
          <w:bCs/>
          <w:i/>
          <w:iCs w:val="0"/>
          <w:color w:val="auto"/>
          <w:sz w:val="22"/>
          <w:szCs w:val="22"/>
          <w:lang w:val="en-US" w:eastAsia="zh-CN"/>
        </w:rPr>
        <w:t xml:space="preserve">. </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i/>
          <w:sz w:val="22"/>
          <w:szCs w:val="22"/>
          <w:lang w:val="en-US" w:eastAsia="zh-CN"/>
        </w:rPr>
      </w:pPr>
      <w:r>
        <w:rPr>
          <w:rFonts w:hint="eastAsia"/>
          <w:b/>
          <w:i/>
          <w:sz w:val="22"/>
          <w:szCs w:val="22"/>
          <w:lang w:val="en-US" w:eastAsia="zh-CN"/>
        </w:rPr>
        <w:t>: For based on Rel-16 Type-II codebook CRI-based CSI refinement, support two UE capabilities:</w:t>
      </w:r>
    </w:p>
    <w:p>
      <w:pPr>
        <w:widowControl w:val="0"/>
        <w:numPr>
          <w:numId w:val="0"/>
        </w:numPr>
        <w:snapToGrid w:val="0"/>
        <w:ind w:left="1080" w:leftChars="0"/>
        <w:rPr>
          <w:rFonts w:hint="default" w:eastAsia="宋体"/>
          <w:b/>
          <w:bCs w:val="0"/>
          <w:i/>
          <w:iCs w:val="0"/>
          <w:sz w:val="22"/>
          <w:szCs w:val="22"/>
          <w:lang w:val="en-US" w:eastAsia="zh-CN"/>
        </w:rPr>
      </w:pPr>
      <w:r>
        <w:rPr>
          <w:b/>
          <w:bCs w:val="0"/>
          <w:i/>
          <w:iCs w:val="0"/>
          <w:sz w:val="22"/>
          <w:szCs w:val="22"/>
        </w:rPr>
        <w:t xml:space="preserve">Capability 1: </w:t>
      </w:r>
      <w:bookmarkStart w:id="23" w:name="OLE_LINK3"/>
      <w:r>
        <w:rPr>
          <w:rFonts w:hint="eastAsia"/>
          <w:b/>
          <w:bCs w:val="0"/>
          <w:i/>
          <w:iCs w:val="0"/>
          <w:sz w:val="22"/>
          <w:szCs w:val="22"/>
          <w:lang w:val="en-US" w:eastAsia="zh-CN"/>
        </w:rPr>
        <w:t xml:space="preserve">Reuse legacy </w:t>
      </w:r>
      <m:oMath>
        <m:r>
          <m:rPr>
            <m:sty m:val="bi"/>
          </m:rPr>
          <w:rPr>
            <w:rFonts w:ascii="Cambria Math" w:hAnsi="Cambria Math"/>
            <w:sz w:val="22"/>
            <w:szCs w:val="22"/>
            <w:highlight w:val="none"/>
          </w:rPr>
          <m:t>(</m:t>
        </m:r>
        <m:sSub>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r>
          <m:rPr>
            <m:sty m:val="bi"/>
          </m:rPr>
          <w:rPr>
            <w:rFonts w:ascii="Cambria Math" w:hAnsi="Cambria Math"/>
            <w:sz w:val="22"/>
            <w:szCs w:val="22"/>
            <w:highlight w:val="none"/>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r>
          <m:rPr>
            <m:sty m:val="bi"/>
          </m:rPr>
          <w:rPr>
            <w:rFonts w:ascii="Cambria Math" w:hAnsi="Cambria Math"/>
            <w:sz w:val="22"/>
            <w:szCs w:val="22"/>
            <w:highlight w:val="none"/>
          </w:rPr>
          <m:t>)</m:t>
        </m:r>
      </m:oMath>
      <w:r>
        <w:rPr>
          <w:b/>
          <w:bCs w:val="0"/>
          <w:i/>
          <w:iCs w:val="0"/>
          <w:sz w:val="22"/>
          <w:szCs w:val="22"/>
        </w:rPr>
        <w:t xml:space="preserve"> </w:t>
      </w:r>
      <w:bookmarkEnd w:id="23"/>
      <w:r>
        <w:rPr>
          <w:rFonts w:hint="eastAsia"/>
          <w:b/>
          <w:bCs w:val="0"/>
          <w:i/>
          <w:iCs w:val="0"/>
          <w:sz w:val="22"/>
          <w:szCs w:val="22"/>
          <w:lang w:val="en-US" w:eastAsia="zh-CN"/>
        </w:rPr>
        <w:t>values</w:t>
      </w:r>
    </w:p>
    <w:p>
      <w:pPr>
        <w:widowControl w:val="0"/>
        <w:numPr>
          <w:numId w:val="0"/>
        </w:numPr>
        <w:snapToGrid w:val="0"/>
        <w:ind w:left="1080" w:leftChars="0"/>
        <w:rPr>
          <w:rFonts w:hint="default" w:eastAsia="宋体"/>
          <w:b/>
          <w:bCs w:val="0"/>
          <w:i/>
          <w:iCs w:val="0"/>
          <w:sz w:val="22"/>
          <w:szCs w:val="22"/>
          <w:lang w:val="en-US" w:eastAsia="zh-CN"/>
        </w:rPr>
      </w:pPr>
      <w:r>
        <w:rPr>
          <w:b/>
          <w:bCs w:val="0"/>
          <w:i/>
          <w:iCs w:val="0"/>
          <w:sz w:val="22"/>
          <w:szCs w:val="22"/>
        </w:rPr>
        <w:t xml:space="preserve">Capability 2: </w:t>
      </w:r>
      <w:r>
        <w:rPr>
          <w:rFonts w:hint="eastAsia"/>
          <w:b/>
          <w:bCs w:val="0"/>
          <w:i/>
          <w:iCs w:val="0"/>
          <w:sz w:val="22"/>
          <w:szCs w:val="22"/>
          <w:lang w:val="en-US" w:eastAsia="zh-CN"/>
        </w:rPr>
        <w:t xml:space="preserve">Reuse legacy </w:t>
      </w:r>
      <m:oMath>
        <m:r>
          <m:rPr>
            <m:sty m:val="bi"/>
          </m:rPr>
          <w:rPr>
            <w:rFonts w:ascii="Cambria Math" w:hAnsi="Cambria Math"/>
            <w:sz w:val="22"/>
            <w:szCs w:val="22"/>
            <w:highlight w:val="none"/>
          </w:rPr>
          <m:t>(</m:t>
        </m:r>
        <m:sSub>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lang w:val="en-US" w:eastAsia="zh-CN"/>
              </w:rPr>
              <m:t>+</m:t>
            </m:r>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r>
          <m:rPr>
            <m:sty m:val="bi"/>
          </m:rPr>
          <w:rPr>
            <w:rFonts w:ascii="Cambria Math" w:hAnsi="Cambria Math"/>
            <w:sz w:val="22"/>
            <w:szCs w:val="22"/>
            <w:highlight w:val="none"/>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lang w:val="en-US" w:eastAsia="zh-CN"/>
              </w:rPr>
              <m:t>2</m:t>
            </m:r>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r>
          <m:rPr>
            <m:sty m:val="bi"/>
          </m:rPr>
          <w:rPr>
            <w:rFonts w:ascii="Cambria Math" w:hAnsi="Cambria Math"/>
            <w:sz w:val="22"/>
            <w:szCs w:val="22"/>
            <w:highlight w:val="none"/>
          </w:rPr>
          <m:t>)</m:t>
        </m:r>
      </m:oMath>
      <w:r>
        <m:rPr/>
        <w:rPr>
          <w:rFonts w:hint="eastAsia" w:hAnsi="Cambria Math"/>
          <w:b/>
          <w:i/>
          <w:sz w:val="22"/>
          <w:szCs w:val="22"/>
          <w:highlight w:val="none"/>
          <w:lang w:val="en-US" w:eastAsia="zh-CN"/>
        </w:rPr>
        <w:t xml:space="preserve"> for Rel-18 CJT</w:t>
      </w:r>
    </w:p>
    <w:p>
      <w:pPr>
        <w:rPr>
          <w:rFonts w:hint="default" w:hAnsi="Cambria Math"/>
          <w:i w:val="0"/>
          <w:color w:val="auto"/>
          <w:lang w:val="en-US" w:eastAsia="zh-CN"/>
        </w:rPr>
      </w:pPr>
    </w:p>
    <w:p>
      <w:pPr>
        <w:rPr>
          <w:rFonts w:hint="eastAsia"/>
          <w:b/>
          <w:i/>
          <w:lang w:val="en-US" w:eastAsia="zh-CN"/>
        </w:rPr>
      </w:pPr>
    </w:p>
    <w:p>
      <w:pPr>
        <w:pStyle w:val="2"/>
        <w:rPr>
          <w:kern w:val="2"/>
          <w:lang w:eastAsia="zh-CN"/>
        </w:rPr>
      </w:pPr>
      <w:r>
        <w:rPr>
          <w:rFonts w:hint="eastAsia"/>
          <w:kern w:val="2"/>
          <w:lang w:val="en-US" w:eastAsia="zh-CN"/>
        </w:rPr>
        <w:t>UE reporting refinement for CJT</w:t>
      </w:r>
    </w:p>
    <w:p>
      <w:pPr>
        <w:pStyle w:val="3"/>
        <w:bidi w:val="0"/>
        <w:rPr>
          <w:rFonts w:hint="default"/>
          <w:lang w:val="en-US" w:eastAsia="zh-CN"/>
        </w:rPr>
      </w:pPr>
      <w:r>
        <w:rPr>
          <w:rFonts w:hint="eastAsia"/>
          <w:lang w:val="en-US" w:eastAsia="zh-CN"/>
        </w:rPr>
        <w:t xml:space="preserve">Joint reporting </w:t>
      </w:r>
    </w:p>
    <w:tbl>
      <w:tblPr>
        <w:tblStyle w:val="25"/>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15" w:type="dxa"/>
          <w:bottom w:w="0" w:type="dxa"/>
          <w:right w:w="115"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trPr>
        <w:tc>
          <w:tcPr>
            <w:tcW w:w="9351" w:type="dxa"/>
            <w:vMerge w:val="restart"/>
          </w:tcPr>
          <w:p>
            <w:pPr>
              <w:widowControl w:val="0"/>
              <w:rPr>
                <w:b/>
                <w:bCs/>
                <w:highlight w:val="green"/>
              </w:rPr>
            </w:pPr>
            <w:r>
              <w:rPr>
                <w:b/>
                <w:bCs/>
                <w:highlight w:val="green"/>
              </w:rPr>
              <w:t>Agreement</w:t>
            </w:r>
          </w:p>
          <w:p>
            <w:pPr>
              <w:widowControl w:val="0"/>
              <w:snapToGrid w:val="0"/>
              <w:rPr>
                <w:bCs/>
                <w:color w:val="0000FF"/>
                <w:szCs w:val="20"/>
                <w:lang w:val="en-CA" w:eastAsia="zh-CN"/>
              </w:rPr>
            </w:pPr>
            <w:r>
              <w:rPr>
                <w:rFonts w:eastAsia="Calibri"/>
                <w:szCs w:val="20"/>
              </w:rPr>
              <w:t xml:space="preserve">For the Rel-19 aperiodic standalone CJT calibration reporting, in addition to reporting one type of CJT calibration report in one report, at least support reporting </w:t>
            </w:r>
            <w:r>
              <w:rPr>
                <w:color w:val="auto"/>
                <w:szCs w:val="20"/>
              </w:rPr>
              <w:t>{(D</w:t>
            </w:r>
            <w:r>
              <w:rPr>
                <w:color w:val="auto"/>
                <w:szCs w:val="20"/>
                <w:vertAlign w:val="subscript"/>
              </w:rPr>
              <w:t>n,offset</w:t>
            </w:r>
            <w:r>
              <w:rPr>
                <w:color w:val="auto"/>
                <w:szCs w:val="20"/>
              </w:rPr>
              <w:t>, d</w:t>
            </w:r>
            <w:r>
              <w:rPr>
                <w:color w:val="auto"/>
                <w:szCs w:val="20"/>
                <w:vertAlign w:val="subscript"/>
              </w:rPr>
              <w:t>n</w:t>
            </w:r>
            <w:r>
              <w:rPr>
                <w:color w:val="auto"/>
                <w:szCs w:val="20"/>
              </w:rPr>
              <w:t>), n=0, 1, …, N</w:t>
            </w:r>
            <w:r>
              <w:rPr>
                <w:bCs/>
                <w:color w:val="auto"/>
                <w:szCs w:val="20"/>
                <w:vertAlign w:val="subscript"/>
                <w:lang w:eastAsia="zh-CN"/>
              </w:rPr>
              <w:t>TRP</w:t>
            </w:r>
            <w:r>
              <w:rPr>
                <w:color w:val="auto"/>
                <w:szCs w:val="20"/>
              </w:rPr>
              <w:t xml:space="preserve"> – 1</w:t>
            </w:r>
            <w:r>
              <w:rPr>
                <w:rFonts w:eastAsia="Calibri"/>
                <w:color w:val="auto"/>
                <w:szCs w:val="20"/>
              </w:rPr>
              <w:t xml:space="preserve">, </w:t>
            </w:r>
            <w:r>
              <w:rPr>
                <w:bCs/>
                <w:color w:val="auto"/>
                <w:szCs w:val="20"/>
                <w:lang w:eastAsia="zh-CN"/>
              </w:rPr>
              <w:t>n≠nref1</w:t>
            </w:r>
            <w:r>
              <w:rPr>
                <w:color w:val="auto"/>
                <w:szCs w:val="20"/>
              </w:rPr>
              <w:t>}</w:t>
            </w:r>
            <w:r>
              <w:rPr>
                <w:bCs/>
                <w:color w:val="auto"/>
                <w:szCs w:val="20"/>
                <w:lang w:val="en-CA" w:eastAsia="zh-CN"/>
              </w:rPr>
              <w:t xml:space="preserve"> and </w:t>
            </w:r>
            <w:r>
              <w:rPr>
                <w:bCs/>
                <w:color w:val="auto"/>
                <w:szCs w:val="20"/>
                <w:lang w:eastAsia="zh-CN"/>
              </w:rPr>
              <w:t>{FO</w:t>
            </w:r>
            <w:r>
              <w:rPr>
                <w:bCs/>
                <w:color w:val="auto"/>
                <w:szCs w:val="20"/>
                <w:vertAlign w:val="subscript"/>
                <w:lang w:eastAsia="zh-CN"/>
              </w:rPr>
              <w:t>n</w:t>
            </w:r>
            <w:r>
              <w:rPr>
                <w:bCs/>
                <w:color w:val="auto"/>
                <w:szCs w:val="20"/>
                <w:lang w:eastAsia="zh-CN"/>
              </w:rPr>
              <w:t xml:space="preserve"> , n=0, 1, …, N</w:t>
            </w:r>
            <w:r>
              <w:rPr>
                <w:bCs/>
                <w:color w:val="auto"/>
                <w:szCs w:val="20"/>
                <w:vertAlign w:val="subscript"/>
                <w:lang w:eastAsia="zh-CN"/>
              </w:rPr>
              <w:t>TRP</w:t>
            </w:r>
            <w:r>
              <w:rPr>
                <w:bCs/>
                <w:color w:val="auto"/>
                <w:szCs w:val="20"/>
                <w:lang w:eastAsia="zh-CN"/>
              </w:rPr>
              <w:t xml:space="preserve"> – 1, n≠nref2} </w:t>
            </w:r>
            <w:r>
              <w:rPr>
                <w:bCs/>
                <w:color w:val="auto"/>
                <w:szCs w:val="20"/>
                <w:lang w:val="en-CA" w:eastAsia="zh-CN"/>
              </w:rPr>
              <w:t>in one report</w:t>
            </w:r>
          </w:p>
          <w:p>
            <w:pPr>
              <w:pStyle w:val="43"/>
              <w:widowControl w:val="0"/>
              <w:numPr>
                <w:ilvl w:val="0"/>
                <w:numId w:val="11"/>
              </w:numPr>
              <w:snapToGrid w:val="0"/>
              <w:ind w:leftChars="0"/>
              <w:rPr>
                <w:szCs w:val="20"/>
              </w:rPr>
            </w:pPr>
            <w:r>
              <w:rPr>
                <w:bCs/>
                <w:szCs w:val="20"/>
              </w:rPr>
              <w:t>nref1 and nref2 are independently selected and indicated by the UE,</w:t>
            </w:r>
          </w:p>
          <w:p>
            <w:pPr>
              <w:pStyle w:val="43"/>
              <w:widowControl w:val="0"/>
              <w:numPr>
                <w:ilvl w:val="0"/>
                <w:numId w:val="11"/>
              </w:numPr>
              <w:snapToGrid w:val="0"/>
              <w:ind w:leftChars="0"/>
              <w:rPr>
                <w:bCs/>
                <w:szCs w:val="20"/>
              </w:rPr>
            </w:pPr>
            <w:r>
              <w:rPr>
                <w:szCs w:val="20"/>
              </w:rPr>
              <w:t>O</w:t>
            </w:r>
            <w:r>
              <w:rPr>
                <w:bCs/>
                <w:szCs w:val="20"/>
              </w:rPr>
              <w:t>ne-part UCI</w:t>
            </w:r>
            <w:r>
              <w:rPr>
                <w:szCs w:val="20"/>
              </w:rPr>
              <w:t xml:space="preserve"> is used</w:t>
            </w:r>
          </w:p>
          <w:p>
            <w:pPr>
              <w:widowControl w:val="0"/>
              <w:rPr>
                <w:rFonts w:cs="Times"/>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327" w:hRule="atLeast"/>
        </w:trPr>
        <w:tc>
          <w:tcPr>
            <w:tcW w:w="9351" w:type="dxa"/>
            <w:vMerge w:val="continue"/>
          </w:tcPr>
          <w:p>
            <w:pPr>
              <w:widowControl w:val="0"/>
              <w:rPr>
                <w:sz w:val="18"/>
                <w:szCs w:val="18"/>
              </w:rPr>
            </w:pPr>
          </w:p>
        </w:tc>
      </w:tr>
    </w:tbl>
    <w:p>
      <w:pPr>
        <w:rPr>
          <w:rFonts w:hint="eastAsia"/>
          <w:b/>
          <w:i/>
          <w:lang w:val="en-US" w:eastAsia="zh-CN"/>
        </w:rPr>
      </w:pPr>
    </w:p>
    <w:p>
      <w:pPr>
        <w:rPr>
          <w:rFonts w:hint="eastAsia"/>
          <w:b w:val="0"/>
          <w:bCs/>
          <w:i w:val="0"/>
          <w:iCs/>
          <w:sz w:val="22"/>
          <w:szCs w:val="22"/>
          <w:lang w:val="en-US" w:eastAsia="zh-CN"/>
        </w:rPr>
      </w:pPr>
      <w:r>
        <w:rPr>
          <w:rFonts w:hint="eastAsia"/>
          <w:b w:val="0"/>
          <w:bCs/>
          <w:i w:val="0"/>
          <w:iCs/>
          <w:sz w:val="22"/>
          <w:szCs w:val="22"/>
          <w:lang w:val="en-US" w:eastAsia="zh-CN"/>
        </w:rPr>
        <w:t xml:space="preserve">In the last meeting, it was agreed to have joint reporting of delay and frequency offset calibration in a single report. Additionally, for delay and frequency offset calibration, the UE will report 'out of range' and 'invalid' information, respectively. When joint reporting the delay and frequency offset compensation information, if the indication information reported by the UE for one TRP is 'out of range' or 'invalid', then the delay and frequency offset compensation information will be considered useless. Therefore, it is necessary to jointly report the 'out of range' and 'invalid' indication information according to certain rules, which can help reduce the reporting overhead. For example, the 'out of range' and 'invalid' indication information can be combined using a bitwise AND operation. </w:t>
      </w:r>
    </w:p>
    <w:p>
      <w:pPr>
        <w:rPr>
          <w:rFonts w:hint="default"/>
          <w:b w:val="0"/>
          <w:bCs/>
          <w:i w:val="0"/>
          <w:iCs/>
          <w:sz w:val="22"/>
          <w:szCs w:val="22"/>
          <w:lang w:val="en-US" w:eastAsia="zh-CN"/>
        </w:rPr>
      </w:pPr>
      <w:r>
        <w:rPr>
          <w:rFonts w:hint="default"/>
          <w:b w:val="0"/>
          <w:bCs/>
          <w:i w:val="0"/>
          <w:iCs/>
          <w:sz w:val="22"/>
          <w:szCs w:val="22"/>
          <w:lang w:val="en-US" w:eastAsia="zh-CN"/>
        </w:rPr>
        <w:t>Furthermore, for TDD systems based on reciprocity, we believe that joint calibration of frequency offset, delay offset, and phase offset is a common case. Therefore,</w:t>
      </w:r>
      <w:r>
        <w:rPr>
          <w:rFonts w:hint="eastAsia"/>
          <w:b w:val="0"/>
          <w:bCs/>
          <w:i w:val="0"/>
          <w:iCs/>
          <w:sz w:val="22"/>
          <w:szCs w:val="22"/>
          <w:lang w:val="en-US" w:eastAsia="zh-CN"/>
        </w:rPr>
        <w:t xml:space="preserve"> </w:t>
      </w:r>
      <w:r>
        <w:rPr>
          <w:rFonts w:hint="default"/>
          <w:b w:val="0"/>
          <w:bCs/>
          <w:i w:val="0"/>
          <w:iCs/>
          <w:sz w:val="22"/>
          <w:szCs w:val="22"/>
          <w:lang w:val="en-US" w:eastAsia="zh-CN"/>
        </w:rPr>
        <w:t>joint reporting of frequency offset, delay offset, and phase offset compensation</w:t>
      </w:r>
      <w:r>
        <w:rPr>
          <w:rFonts w:hint="eastAsia"/>
          <w:b w:val="0"/>
          <w:bCs/>
          <w:i w:val="0"/>
          <w:iCs/>
          <w:sz w:val="22"/>
          <w:szCs w:val="22"/>
          <w:lang w:val="en-US" w:eastAsia="zh-CN"/>
        </w:rPr>
        <w:t xml:space="preserve"> should be considered. </w:t>
      </w:r>
      <w:r>
        <w:rPr>
          <w:rFonts w:hint="default"/>
          <w:b w:val="0"/>
          <w:bCs/>
          <w:i w:val="0"/>
          <w:iCs/>
          <w:sz w:val="22"/>
          <w:szCs w:val="22"/>
          <w:lang w:val="en-US" w:eastAsia="zh-CN"/>
        </w:rPr>
        <w:t>It is evident that the combined mechanism illustrated above, which indicates 'invalid' information, can also be applied in this situation.</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For TDD system based on reciprocity, frequency offset, delay offset, and phase offset calibration joint reporting should be considered. </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When reporting multiple calibration quantities in a single report, the </w:t>
      </w:r>
      <w:r>
        <w:rPr>
          <w:rFonts w:hint="default"/>
          <w:b/>
          <w:i/>
          <w:sz w:val="22"/>
          <w:szCs w:val="22"/>
          <w:lang w:val="en-US" w:eastAsia="zh-CN"/>
        </w:rPr>
        <w:t>‘</w:t>
      </w:r>
      <w:r>
        <w:rPr>
          <w:rFonts w:hint="eastAsia"/>
          <w:b/>
          <w:i/>
          <w:sz w:val="22"/>
          <w:szCs w:val="22"/>
          <w:lang w:val="en-US" w:eastAsia="zh-CN"/>
        </w:rPr>
        <w:t>invalid</w:t>
      </w:r>
      <w:r>
        <w:rPr>
          <w:rFonts w:hint="default"/>
          <w:b/>
          <w:i/>
          <w:sz w:val="22"/>
          <w:szCs w:val="22"/>
          <w:lang w:val="en-US" w:eastAsia="zh-CN"/>
        </w:rPr>
        <w:t>’</w:t>
      </w:r>
      <w:r>
        <w:rPr>
          <w:rFonts w:hint="eastAsia"/>
          <w:b/>
          <w:i/>
          <w:sz w:val="22"/>
          <w:szCs w:val="22"/>
          <w:lang w:val="en-US" w:eastAsia="zh-CN"/>
        </w:rPr>
        <w:t xml:space="preserve"> indication information can be share between them.</w:t>
      </w:r>
    </w:p>
    <w:p>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ind w:leftChars="0"/>
        <w:textAlignment w:val="auto"/>
        <w:rPr>
          <w:rFonts w:hint="eastAsia"/>
          <w:b/>
          <w:bCs/>
          <w:i/>
          <w:iCs w:val="0"/>
          <w:sz w:val="22"/>
          <w:szCs w:val="22"/>
          <w:lang w:val="en-US" w:eastAsia="zh-CN"/>
        </w:rPr>
      </w:pPr>
    </w:p>
    <w:p>
      <w:pPr>
        <w:pStyle w:val="2"/>
      </w:pPr>
      <w:r>
        <w:t>Conclusions</w:t>
      </w:r>
    </w:p>
    <w:p>
      <w:r>
        <w:rPr>
          <w:kern w:val="2"/>
          <w:lang w:val="en-GB" w:eastAsia="zh-CN"/>
        </w:rPr>
        <w:t xml:space="preserve">This contribution provides our views on </w:t>
      </w:r>
      <w:r>
        <w:t>CSI enhancement for</w:t>
      </w:r>
      <w:r>
        <w:rPr>
          <w:rFonts w:hint="eastAsia"/>
          <w:lang w:val="en-US" w:eastAsia="zh-CN"/>
        </w:rPr>
        <w:t xml:space="preserve"> supporting up to 128 antenna ports and UE reporting refinement for CJT. </w:t>
      </w:r>
      <w:r>
        <w:t>We have following proposals.</w:t>
      </w:r>
    </w:p>
    <w:p>
      <w:pPr>
        <w:rPr>
          <w:rFonts w:hint="eastAsia"/>
          <w:lang w:val="en-US" w:eastAsia="zh-CN"/>
        </w:rPr>
      </w:pPr>
      <w:r>
        <w:rPr>
          <w:rFonts w:hint="eastAsia"/>
          <w:lang w:val="en-US" w:eastAsia="zh-CN"/>
        </w:rPr>
        <w:t xml:space="preserve"> </w:t>
      </w:r>
      <w:bookmarkStart w:id="27" w:name="_GoBack"/>
      <w:bookmarkEnd w:id="27"/>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val="0"/>
          <w:i/>
          <w:iCs w:val="0"/>
          <w:highlight w:val="none"/>
          <w:lang w:val="en-US" w:eastAsia="zh-CN"/>
        </w:rPr>
      </w:pPr>
      <w:r>
        <w:rPr>
          <w:b/>
          <w:i/>
          <w:lang w:eastAsia="zh-CN"/>
        </w:rPr>
        <w:t xml:space="preserve">: </w:t>
      </w:r>
      <w:r>
        <w:rPr>
          <w:rFonts w:hint="eastAsia" w:ascii="Times New Roman" w:hAnsi="Times New Roman" w:eastAsia="宋体" w:cs="Times New Roman"/>
          <w:b/>
          <w:bCs/>
          <w:i/>
          <w:iCs/>
          <w:sz w:val="22"/>
          <w:szCs w:val="22"/>
          <w:lang w:val="en-US" w:eastAsia="zh-CN" w:bidi="ar-SA"/>
        </w:rPr>
        <w:t xml:space="preserve">The values of </w:t>
      </w:r>
      <w:r>
        <w:rPr>
          <w:rFonts w:hint="eastAsia" w:ascii="Times New Roman" w:hAnsi="Times New Roman" w:eastAsia="宋体" w:cs="Times New Roman"/>
          <w:b/>
          <w:bCs/>
          <w:i/>
          <w:iCs/>
          <w:sz w:val="22"/>
          <w:szCs w:val="22"/>
          <w:lang w:val="en-GB" w:eastAsia="zh-CN" w:bidi="ar-SA"/>
        </w:rPr>
        <w:t>X1</w:t>
      </w:r>
      <w:r>
        <w:rPr>
          <w:rFonts w:hint="eastAsia" w:ascii="Times New Roman" w:hAnsi="Times New Roman" w:eastAsia="宋体" w:cs="Times New Roman"/>
          <w:b/>
          <w:bCs/>
          <w:i/>
          <w:iCs/>
          <w:sz w:val="22"/>
          <w:szCs w:val="22"/>
          <w:lang w:val="en-US" w:eastAsia="zh-CN" w:bidi="ar-SA"/>
        </w:rPr>
        <w:t xml:space="preserve"> and/or </w:t>
      </w:r>
      <w:r>
        <w:rPr>
          <w:rFonts w:hint="eastAsia" w:ascii="Times New Roman" w:hAnsi="Times New Roman" w:eastAsia="宋体" w:cs="Times New Roman"/>
          <w:b/>
          <w:bCs/>
          <w:i/>
          <w:iCs/>
          <w:sz w:val="22"/>
          <w:szCs w:val="22"/>
          <w:lang w:val="en-GB" w:eastAsia="zh-CN" w:bidi="ar-SA"/>
        </w:rPr>
        <w:t>X</w:t>
      </w:r>
      <w:r>
        <w:rPr>
          <w:rFonts w:hint="eastAsia" w:ascii="Times New Roman" w:hAnsi="Times New Roman" w:eastAsia="宋体" w:cs="Times New Roman"/>
          <w:b/>
          <w:bCs/>
          <w:i/>
          <w:iCs/>
          <w:sz w:val="22"/>
          <w:szCs w:val="22"/>
          <w:lang w:val="en-US" w:eastAsia="zh-CN" w:bidi="ar-SA"/>
        </w:rPr>
        <w:t>2 should be integer multiple</w:t>
      </w:r>
      <w:r>
        <w:rPr>
          <w:rFonts w:hint="eastAsia" w:cs="Times New Roman"/>
          <w:b/>
          <w:bCs/>
          <w:i/>
          <w:iCs/>
          <w:sz w:val="22"/>
          <w:szCs w:val="22"/>
          <w:lang w:val="en-US" w:eastAsia="zh-CN" w:bidi="ar-SA"/>
        </w:rPr>
        <w:t>s</w:t>
      </w:r>
      <w:r>
        <w:rPr>
          <w:rFonts w:hint="eastAsia" w:ascii="Times New Roman" w:hAnsi="Times New Roman" w:eastAsia="宋体" w:cs="Times New Roman"/>
          <w:b/>
          <w:bCs/>
          <w:i/>
          <w:iCs/>
          <w:sz w:val="22"/>
          <w:szCs w:val="22"/>
          <w:lang w:val="en-US" w:eastAsia="zh-CN" w:bidi="ar-SA"/>
        </w:rPr>
        <w:t xml:space="preserve"> of  </w:t>
      </w:r>
      <w:r>
        <w:rPr>
          <w:rFonts w:hint="eastAsia" w:ascii="Times New Roman" w:hAnsi="Times New Roman" w:eastAsia="宋体" w:cs="Times New Roman"/>
          <w:b/>
          <w:bCs/>
          <w:i/>
          <w:iCs/>
          <w:sz w:val="22"/>
          <w:szCs w:val="22"/>
          <w:lang w:val="en-GB" w:eastAsia="zh-CN" w:bidi="ar-SA"/>
        </w:rPr>
        <w:t>O1</w:t>
      </w:r>
      <w:r>
        <w:rPr>
          <w:rFonts w:hint="eastAsia" w:ascii="Times New Roman" w:hAnsi="Times New Roman" w:eastAsia="宋体" w:cs="Times New Roman"/>
          <w:b/>
          <w:bCs/>
          <w:i/>
          <w:iCs/>
          <w:sz w:val="22"/>
          <w:szCs w:val="22"/>
          <w:lang w:val="en-US" w:eastAsia="zh-CN" w:bidi="ar-SA"/>
        </w:rPr>
        <w:t xml:space="preserve"> and/or</w:t>
      </w:r>
      <w:r>
        <w:rPr>
          <w:rFonts w:hint="eastAsia" w:ascii="Times New Roman" w:hAnsi="Times New Roman" w:eastAsia="宋体" w:cs="Times New Roman"/>
          <w:b/>
          <w:bCs/>
          <w:i/>
          <w:iCs/>
          <w:sz w:val="22"/>
          <w:szCs w:val="22"/>
          <w:lang w:val="en-GB" w:eastAsia="zh-CN" w:bidi="ar-SA"/>
        </w:rPr>
        <w:t xml:space="preserve"> O2</w:t>
      </w:r>
      <w:r>
        <w:rPr>
          <w:rFonts w:hint="eastAsia" w:ascii="Times New Roman" w:hAnsi="Times New Roman" w:eastAsia="宋体" w:cs="Times New Roman"/>
          <w:b/>
          <w:bCs/>
          <w:i/>
          <w:iCs/>
          <w:sz w:val="22"/>
          <w:szCs w:val="22"/>
          <w:lang w:val="en-US" w:eastAsia="zh-CN" w:bidi="ar-SA"/>
        </w:rPr>
        <w:t xml:space="preserve"> respectively. </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b/>
          <w:bCs w:val="0"/>
          <w:i/>
          <w:iCs w:val="0"/>
          <w:highlight w:val="none"/>
          <w:lang w:val="en-US" w:eastAsia="zh-CN"/>
        </w:rPr>
      </w:pPr>
      <w:r>
        <w:rPr>
          <w:rFonts w:hint="eastAsia"/>
          <w:b/>
          <w:bCs w:val="0"/>
          <w:i/>
          <w:iCs w:val="0"/>
          <w:highlight w:val="none"/>
          <w:lang w:val="en-US" w:eastAsia="zh-CN"/>
        </w:rPr>
        <w:t xml:space="preserve">: </w:t>
      </w:r>
      <w:r>
        <w:rPr>
          <w:rFonts w:hint="eastAsia" w:ascii="Times New Roman" w:hAnsi="Times New Roman" w:eastAsia="宋体" w:cs="Times New Roman"/>
          <w:b/>
          <w:bCs/>
          <w:i/>
          <w:iCs/>
          <w:sz w:val="22"/>
          <w:szCs w:val="22"/>
          <w:lang w:val="en-GB" w:eastAsia="zh-CN" w:bidi="ar-SA"/>
        </w:rPr>
        <w:t>Introduce beam group patterns to indicate the group-based CBSR granularity.</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b/>
          <w:bCs w:val="0"/>
          <w:i/>
          <w:iCs w:val="0"/>
          <w:highlight w:val="none"/>
          <w:lang w:val="en-US" w:eastAsia="zh-CN"/>
        </w:rPr>
      </w:pPr>
      <w:r>
        <w:rPr>
          <w:rFonts w:hint="eastAsia"/>
          <w:b/>
          <w:bCs w:val="0"/>
          <w:i/>
          <w:iCs w:val="0"/>
          <w:highlight w:val="none"/>
          <w:lang w:val="en-US" w:eastAsia="zh-CN"/>
        </w:rPr>
        <w:t xml:space="preserve">: For Rel-19 Type-I SP, eType-II, and FeType-II PS CB, the legacy </w:t>
      </w:r>
      <m:oMath>
        <m:sSub>
          <m:sSubPr>
            <m:ctrlPr>
              <w:rPr>
                <w:rFonts w:ascii="Cambria Math" w:hAnsi="Cambria Math"/>
                <w:b/>
                <w:bCs/>
                <w:i/>
                <w:color w:val="auto"/>
                <w:highlight w:val="none"/>
              </w:rPr>
            </m:ctrlPr>
          </m:sSubPr>
          <m:e>
            <m:r>
              <m:rPr>
                <m:sty m:val="bi"/>
              </m:rPr>
              <w:rPr>
                <w:rFonts w:hint="default" w:ascii="Cambria Math" w:hAnsi="Cambria Math"/>
                <w:color w:val="auto"/>
                <w:highlight w:val="none"/>
              </w:rPr>
              <m:t>O</m:t>
            </m:r>
            <m:ctrlPr>
              <w:rPr>
                <w:rFonts w:ascii="Cambria Math" w:hAnsi="Cambria Math"/>
                <w:b/>
                <w:bCs/>
                <w:i/>
                <w:color w:val="auto"/>
                <w:highlight w:val="none"/>
              </w:rPr>
            </m:ctrlPr>
          </m:e>
          <m:sub>
            <m:r>
              <m:rPr>
                <m:sty m:val="bi"/>
              </m:rPr>
              <w:rPr>
                <w:rFonts w:hint="default" w:ascii="Cambria Math" w:hAnsi="Cambria Math"/>
                <w:color w:val="auto"/>
                <w:highlight w:val="none"/>
              </w:rPr>
              <m:t>CPU</m:t>
            </m:r>
            <m:ctrlPr>
              <w:rPr>
                <w:rFonts w:ascii="Cambria Math" w:hAnsi="Cambria Math"/>
                <w:b/>
                <w:bCs/>
                <w:i/>
                <w:color w:val="auto"/>
                <w:highlight w:val="none"/>
              </w:rPr>
            </m:ctrlPr>
          </m:sub>
        </m:sSub>
      </m:oMath>
      <w:r>
        <w:rPr>
          <w:rFonts w:hint="eastAsia" w:hAnsi="Cambria Math"/>
          <w:b/>
          <w:bCs/>
          <w:i/>
          <w:color w:val="auto"/>
          <w:highlight w:val="none"/>
          <w:lang w:val="en-US" w:eastAsia="zh-CN"/>
        </w:rPr>
        <w:t>=</w:t>
      </w:r>
      <m:oMath>
        <m:r>
          <m:rPr>
            <m:sty m:val="bi"/>
          </m:rPr>
          <w:rPr>
            <w:rFonts w:hint="default" w:ascii="Cambria Math" w:hAnsi="Cambria Math"/>
            <w:color w:val="auto"/>
            <w:highlight w:val="none"/>
          </w:rPr>
          <m:t>K</m:t>
        </m:r>
      </m:oMath>
      <w:r>
        <w:rPr>
          <w:rFonts w:hint="eastAsia" w:hAnsi="Cambria Math"/>
          <w:i/>
          <w:color w:val="auto"/>
          <w:highlight w:val="none"/>
          <w:lang w:val="en-US" w:eastAsia="zh-CN"/>
        </w:rPr>
        <w:t xml:space="preserve"> can be reused. </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i/>
          <w:sz w:val="22"/>
          <w:szCs w:val="22"/>
          <w:highlight w:val="none"/>
          <w:lang w:val="en-US" w:eastAsia="zh-CN"/>
        </w:rPr>
      </w:pPr>
      <w:r>
        <w:rPr>
          <w:rFonts w:hint="eastAsia"/>
          <w:b/>
          <w:i/>
          <w:sz w:val="22"/>
          <w:szCs w:val="22"/>
          <w:highlight w:val="none"/>
          <w:lang w:val="en-US" w:eastAsia="zh-CN"/>
        </w:rPr>
        <w:t>: Support the reporting of CSI corresponding to a fixed CSI-RS resource index.</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ascii="Times New Roman" w:hAnsi="Times New Roman" w:eastAsia="宋体" w:cs="Times New Roman"/>
          <w:b/>
          <w:bCs/>
          <w:i/>
          <w:sz w:val="22"/>
          <w:szCs w:val="22"/>
          <w:lang w:val="en-US" w:eastAsia="zh-CN" w:bidi="ar-SA"/>
        </w:rPr>
      </w:pPr>
      <w:r>
        <w:rPr>
          <w:rFonts w:hint="eastAsia"/>
          <w:b/>
          <w:i/>
          <w:sz w:val="22"/>
          <w:szCs w:val="22"/>
          <w:lang w:val="en-US" w:eastAsia="zh-CN"/>
        </w:rPr>
        <w:t>:</w:t>
      </w:r>
      <w:r>
        <w:rPr>
          <w:rFonts w:hint="default" w:ascii="Times New Roman" w:hAnsi="Times New Roman" w:eastAsia="宋体" w:cs="Times New Roman"/>
          <w:b/>
          <w:bCs/>
          <w:i/>
          <w:sz w:val="22"/>
          <w:szCs w:val="22"/>
          <w:lang w:val="en-US" w:eastAsia="zh-CN" w:bidi="ar-SA"/>
        </w:rPr>
        <w:t>Supporting UCI omission with CSI level, similar to the mechanism based on csi-ReportSubConfigID for NES.</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For CRI-based CSI refinement based on Rel-15 Type-I SP CB , </w:t>
      </w:r>
      <w:r>
        <w:rPr>
          <w:rFonts w:hint="eastAsia"/>
          <w:b/>
          <w:bCs/>
          <w:i/>
          <w:iCs w:val="0"/>
          <w:sz w:val="22"/>
          <w:szCs w:val="22"/>
          <w:lang w:val="en-US" w:eastAsia="zh-CN"/>
        </w:rPr>
        <w:t xml:space="preserve">support </w:t>
      </w:r>
      <w:r>
        <w:rPr>
          <w:rFonts w:eastAsia="Malgun Gothic" w:cstheme="minorHAnsi"/>
          <w:b/>
          <w:bCs/>
          <w:i/>
          <w:iCs w:val="0"/>
          <w:sz w:val="22"/>
          <w:szCs w:val="22"/>
          <w:lang w:val="en-GB"/>
        </w:rPr>
        <w:t>O</w:t>
      </w:r>
      <w:r>
        <w:rPr>
          <w:rFonts w:eastAsia="Malgun Gothic" w:cstheme="minorHAnsi"/>
          <w:b/>
          <w:bCs/>
          <w:i/>
          <w:iCs w:val="0"/>
          <w:sz w:val="22"/>
          <w:szCs w:val="22"/>
          <w:vertAlign w:val="subscript"/>
          <w:lang w:val="en-GB"/>
        </w:rPr>
        <w:t>CPU</w:t>
      </w:r>
      <w:r>
        <w:rPr>
          <w:rFonts w:hint="eastAsia" w:eastAsia="宋体" w:cstheme="minorHAnsi"/>
          <w:b/>
          <w:bCs/>
          <w:i/>
          <w:iCs w:val="0"/>
          <w:sz w:val="22"/>
          <w:szCs w:val="22"/>
          <w:vertAlign w:val="subscript"/>
          <w:lang w:val="en-US" w:eastAsia="zh-CN"/>
        </w:rPr>
        <w:t xml:space="preserve"> </w:t>
      </w:r>
      <w:r>
        <w:rPr>
          <w:rFonts w:hint="eastAsia"/>
          <w:b/>
          <w:bCs/>
          <w:i/>
          <w:iCs w:val="0"/>
          <w:sz w:val="22"/>
          <w:szCs w:val="22"/>
          <w:lang w:val="en-US" w:eastAsia="zh-CN"/>
        </w:rPr>
        <w:t xml:space="preserve">= </w:t>
      </w:r>
      <m:oMath>
        <m:sSub>
          <m:sSubPr>
            <m:ctrlPr>
              <w:rPr>
                <w:rFonts w:ascii="Cambria Math" w:hAnsi="Cambria Math" w:eastAsia="MS Mincho"/>
                <w:b/>
                <w:bCs/>
                <w:i/>
                <w:iCs w:val="0"/>
                <w:color w:val="auto"/>
                <w:sz w:val="22"/>
                <w:szCs w:val="22"/>
              </w:rPr>
            </m:ctrlPr>
          </m:sSubPr>
          <m:e>
            <m:r>
              <m:rPr>
                <m:sty m:val="bi"/>
              </m:rPr>
              <w:rPr>
                <w:rFonts w:hint="default" w:ascii="Cambria Math" w:hAnsi="Cambria Math" w:eastAsia="MS Mincho"/>
                <w:color w:val="auto"/>
                <w:sz w:val="22"/>
                <w:szCs w:val="22"/>
              </w:rPr>
              <m:t>K</m:t>
            </m:r>
            <m:ctrlPr>
              <w:rPr>
                <w:rFonts w:ascii="Cambria Math" w:hAnsi="Cambria Math" w:eastAsia="MS Mincho"/>
                <w:b/>
                <w:bCs/>
                <w:i/>
                <w:iCs w:val="0"/>
                <w:color w:val="auto"/>
                <w:sz w:val="22"/>
                <w:szCs w:val="22"/>
              </w:rPr>
            </m:ctrlPr>
          </m:e>
          <m:sub>
            <m:r>
              <m:rPr>
                <m:sty m:val="bi"/>
              </m:rPr>
              <w:rPr>
                <w:rFonts w:hint="default" w:ascii="Cambria Math" w:hAnsi="Cambria Math" w:eastAsia="MS Mincho"/>
                <w:color w:val="auto"/>
                <w:sz w:val="22"/>
                <w:szCs w:val="22"/>
              </w:rPr>
              <m:t>s</m:t>
            </m:r>
            <m:ctrlPr>
              <w:rPr>
                <w:rFonts w:ascii="Cambria Math" w:hAnsi="Cambria Math" w:eastAsia="MS Mincho"/>
                <w:b/>
                <w:bCs/>
                <w:i/>
                <w:iCs w:val="0"/>
                <w:color w:val="auto"/>
                <w:sz w:val="22"/>
                <w:szCs w:val="22"/>
              </w:rPr>
            </m:ctrlPr>
          </m:sub>
        </m:sSub>
      </m:oMath>
      <w:r>
        <w:rPr>
          <w:rFonts w:hint="eastAsia" w:hAnsi="Cambria Math" w:eastAsia="宋体"/>
          <w:b/>
          <w:bCs/>
          <w:i/>
          <w:iCs w:val="0"/>
          <w:color w:val="auto"/>
          <w:sz w:val="22"/>
          <w:szCs w:val="22"/>
          <w:lang w:val="en-US" w:eastAsia="zh-CN"/>
        </w:rPr>
        <w:t xml:space="preserve">. </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i/>
          <w:sz w:val="22"/>
          <w:szCs w:val="22"/>
          <w:lang w:val="en-US" w:eastAsia="zh-CN"/>
        </w:rPr>
      </w:pPr>
      <w:r>
        <w:rPr>
          <w:rFonts w:hint="eastAsia"/>
          <w:b/>
          <w:i/>
          <w:sz w:val="22"/>
          <w:szCs w:val="22"/>
          <w:lang w:val="en-US" w:eastAsia="zh-CN"/>
        </w:rPr>
        <w:t>: For CRI-based CSI refinement based on Rel-15 Type-I SP CB, introduce two UE capabilities:</w:t>
      </w:r>
    </w:p>
    <w:p>
      <w:pPr>
        <w:widowControl w:val="0"/>
        <w:numPr>
          <w:ilvl w:val="0"/>
          <w:numId w:val="0"/>
        </w:numPr>
        <w:snapToGrid w:val="0"/>
        <w:ind w:left="1080" w:leftChars="0"/>
        <w:rPr>
          <w:b/>
          <w:bCs w:val="0"/>
          <w:i/>
          <w:iCs w:val="0"/>
          <w:sz w:val="22"/>
          <w:szCs w:val="22"/>
        </w:rPr>
      </w:pPr>
      <w:r>
        <w:rPr>
          <w:b/>
          <w:bCs w:val="0"/>
          <w:i/>
          <w:iCs w:val="0"/>
          <w:sz w:val="22"/>
          <w:szCs w:val="22"/>
        </w:rPr>
        <w:t xml:space="preserve">Capability 1: Reuse legacy </w:t>
      </w:r>
      <m:oMath>
        <m:sSub>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r>
          <m:rPr>
            <m:sty m:val="bi"/>
          </m:rPr>
          <w:rPr>
            <w:rFonts w:hint="default" w:ascii="Cambria Math" w:hAnsi="Cambria Math"/>
            <w:sz w:val="22"/>
            <w:szCs w:val="22"/>
            <w:highlight w:val="none"/>
            <w:lang w:val="en-US" w:eastAsia="zh-CN"/>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oMath>
      <w:r>
        <w:rPr>
          <w:b/>
          <w:bCs w:val="0"/>
          <w:i/>
          <w:iCs w:val="0"/>
          <w:sz w:val="22"/>
          <w:szCs w:val="22"/>
        </w:rPr>
        <w:t xml:space="preserve"> values</w:t>
      </w:r>
    </w:p>
    <w:p>
      <w:pPr>
        <w:widowControl w:val="0"/>
        <w:numPr>
          <w:ilvl w:val="0"/>
          <w:numId w:val="0"/>
        </w:numPr>
        <w:snapToGrid w:val="0"/>
        <w:ind w:left="1080" w:leftChars="0"/>
        <w:rPr>
          <w:b/>
          <w:bCs w:val="0"/>
          <w:i/>
          <w:iCs w:val="0"/>
          <w:sz w:val="22"/>
          <w:szCs w:val="22"/>
        </w:rPr>
      </w:pPr>
      <w:r>
        <w:rPr>
          <w:b/>
          <w:bCs w:val="0"/>
          <w:i/>
          <w:iCs w:val="0"/>
          <w:sz w:val="22"/>
          <w:szCs w:val="22"/>
        </w:rPr>
        <w:t xml:space="preserve">Capability 2: Scale the legacy timeline </w:t>
      </w:r>
      <m:oMath>
        <m:sSub>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r>
          <m:rPr>
            <m:sty m:val="bi"/>
          </m:rPr>
          <w:rPr>
            <w:rFonts w:hint="default" w:ascii="Cambria Math" w:hAnsi="Cambria Math"/>
            <w:sz w:val="22"/>
            <w:szCs w:val="22"/>
            <w:highlight w:val="none"/>
            <w:lang w:val="en-US" w:eastAsia="zh-CN"/>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oMath>
      <w:r>
        <w:rPr>
          <w:b/>
          <w:bCs w:val="0"/>
          <w:i/>
          <w:iCs w:val="0"/>
          <w:sz w:val="22"/>
          <w:szCs w:val="22"/>
        </w:rPr>
        <w:t xml:space="preserve"> by ceil(P/</w:t>
      </w:r>
      <w:r>
        <w:rPr>
          <w:rFonts w:hint="eastAsia"/>
          <w:b/>
          <w:bCs w:val="0"/>
          <w:i/>
          <w:iCs w:val="0"/>
          <w:sz w:val="22"/>
          <w:szCs w:val="22"/>
          <w:lang w:val="en-US" w:eastAsia="zh-CN"/>
        </w:rPr>
        <w:t>8</w:t>
      </w:r>
      <w:r>
        <w:rPr>
          <w:b/>
          <w:bCs w:val="0"/>
          <w:i/>
          <w:iCs w:val="0"/>
          <w:sz w:val="22"/>
          <w:szCs w:val="22"/>
        </w:rPr>
        <w:t>)</w:t>
      </w:r>
      <w:r>
        <w:rPr>
          <w:rFonts w:hint="eastAsia"/>
          <w:b/>
          <w:bCs w:val="0"/>
          <w:i/>
          <w:iCs w:val="0"/>
          <w:sz w:val="22"/>
          <w:szCs w:val="22"/>
          <w:lang w:val="en-US" w:eastAsia="zh-CN"/>
        </w:rPr>
        <w:t xml:space="preserve"> or ceil(P/16)</w:t>
      </w:r>
      <w:r>
        <w:rPr>
          <w:b/>
          <w:bCs w:val="0"/>
          <w:i/>
          <w:iCs w:val="0"/>
          <w:sz w:val="22"/>
          <w:szCs w:val="22"/>
        </w:rPr>
        <w:t xml:space="preserve"> where P is the total number of ports across all the </w:t>
      </w:r>
      <m:oMath>
        <m:sSub>
          <m:sSubPr>
            <m:ctrlPr>
              <w:rPr>
                <w:rFonts w:ascii="Cambria Math" w:hAnsi="Cambria Math" w:eastAsia="MS Mincho"/>
                <w:b/>
                <w:bCs w:val="0"/>
                <w:i/>
                <w:iCs w:val="0"/>
                <w:color w:val="auto"/>
                <w:sz w:val="22"/>
                <w:szCs w:val="22"/>
              </w:rPr>
            </m:ctrlPr>
          </m:sSubPr>
          <m:e>
            <m:r>
              <m:rPr>
                <m:sty m:val="bi"/>
              </m:rPr>
              <w:rPr>
                <w:rFonts w:hint="default" w:ascii="Cambria Math" w:hAnsi="Cambria Math" w:eastAsia="MS Mincho"/>
                <w:color w:val="auto"/>
                <w:sz w:val="22"/>
                <w:szCs w:val="22"/>
              </w:rPr>
              <m:t>K</m:t>
            </m:r>
            <m:ctrlPr>
              <w:rPr>
                <w:rFonts w:ascii="Cambria Math" w:hAnsi="Cambria Math" w:eastAsia="MS Mincho"/>
                <w:b/>
                <w:bCs w:val="0"/>
                <w:i/>
                <w:iCs w:val="0"/>
                <w:color w:val="auto"/>
                <w:sz w:val="22"/>
                <w:szCs w:val="22"/>
              </w:rPr>
            </m:ctrlPr>
          </m:e>
          <m:sub>
            <m:r>
              <m:rPr>
                <m:sty m:val="bi"/>
              </m:rPr>
              <w:rPr>
                <w:rFonts w:hint="default" w:ascii="Cambria Math" w:hAnsi="Cambria Math" w:eastAsia="MS Mincho"/>
                <w:color w:val="auto"/>
                <w:sz w:val="22"/>
                <w:szCs w:val="22"/>
              </w:rPr>
              <m:t>s</m:t>
            </m:r>
            <m:ctrlPr>
              <w:rPr>
                <w:rFonts w:ascii="Cambria Math" w:hAnsi="Cambria Math" w:eastAsia="MS Mincho"/>
                <w:b/>
                <w:bCs w:val="0"/>
                <w:i/>
                <w:iCs w:val="0"/>
                <w:color w:val="auto"/>
                <w:sz w:val="22"/>
                <w:szCs w:val="22"/>
              </w:rPr>
            </m:ctrlPr>
          </m:sub>
        </m:sSub>
      </m:oMath>
      <w:r>
        <w:rPr>
          <w:b/>
          <w:bCs w:val="0"/>
          <w:i/>
          <w:iCs w:val="0"/>
          <w:sz w:val="22"/>
          <w:szCs w:val="22"/>
        </w:rPr>
        <w:t xml:space="preserve"> aggregated CSI-RS resources</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For CRI-based CSI refinement based on Rel-16 Type-II codebook, </w:t>
      </w:r>
      <w:r>
        <w:rPr>
          <w:rFonts w:hint="eastAsia"/>
          <w:b/>
          <w:bCs/>
          <w:i/>
          <w:iCs w:val="0"/>
          <w:sz w:val="22"/>
          <w:szCs w:val="22"/>
          <w:lang w:val="en-US" w:eastAsia="zh-CN"/>
        </w:rPr>
        <w:t xml:space="preserve">support </w:t>
      </w:r>
      <w:r>
        <w:rPr>
          <w:rFonts w:eastAsia="Malgun Gothic" w:cstheme="minorHAnsi"/>
          <w:b/>
          <w:bCs/>
          <w:i/>
          <w:iCs w:val="0"/>
          <w:sz w:val="22"/>
          <w:szCs w:val="22"/>
          <w:lang w:val="en-GB"/>
        </w:rPr>
        <w:t>O</w:t>
      </w:r>
      <w:r>
        <w:rPr>
          <w:rFonts w:eastAsia="Malgun Gothic" w:cstheme="minorHAnsi"/>
          <w:b/>
          <w:bCs/>
          <w:i/>
          <w:iCs w:val="0"/>
          <w:sz w:val="22"/>
          <w:szCs w:val="22"/>
          <w:vertAlign w:val="subscript"/>
          <w:lang w:val="en-GB"/>
        </w:rPr>
        <w:t>CPU</w:t>
      </w:r>
      <w:r>
        <w:rPr>
          <w:rFonts w:hint="eastAsia" w:eastAsia="宋体" w:cstheme="minorHAnsi"/>
          <w:b/>
          <w:bCs/>
          <w:i/>
          <w:iCs w:val="0"/>
          <w:sz w:val="22"/>
          <w:szCs w:val="22"/>
          <w:vertAlign w:val="subscript"/>
          <w:lang w:val="en-US" w:eastAsia="zh-CN"/>
        </w:rPr>
        <w:t xml:space="preserve"> </w:t>
      </w:r>
      <w:r>
        <w:rPr>
          <w:rFonts w:hint="eastAsia"/>
          <w:b/>
          <w:bCs/>
          <w:i/>
          <w:iCs w:val="0"/>
          <w:sz w:val="22"/>
          <w:szCs w:val="22"/>
          <w:lang w:val="en-US" w:eastAsia="zh-CN"/>
        </w:rPr>
        <w:t xml:space="preserve">= </w:t>
      </w:r>
      <m:oMath>
        <m:sSub>
          <m:sSubPr>
            <m:ctrlPr>
              <w:rPr>
                <w:rFonts w:ascii="Cambria Math" w:hAnsi="Cambria Math" w:eastAsia="MS Mincho"/>
                <w:b/>
                <w:bCs/>
                <w:i/>
                <w:iCs w:val="0"/>
                <w:color w:val="auto"/>
                <w:sz w:val="22"/>
                <w:szCs w:val="22"/>
              </w:rPr>
            </m:ctrlPr>
          </m:sSubPr>
          <m:e>
            <m:r>
              <m:rPr>
                <m:sty m:val="bi"/>
              </m:rPr>
              <w:rPr>
                <w:rFonts w:hint="default" w:ascii="Cambria Math" w:hAnsi="Cambria Math" w:eastAsia="MS Mincho"/>
                <w:color w:val="auto"/>
                <w:sz w:val="22"/>
                <w:szCs w:val="22"/>
              </w:rPr>
              <m:t>K</m:t>
            </m:r>
            <m:ctrlPr>
              <w:rPr>
                <w:rFonts w:ascii="Cambria Math" w:hAnsi="Cambria Math" w:eastAsia="MS Mincho"/>
                <w:b/>
                <w:bCs/>
                <w:i/>
                <w:iCs w:val="0"/>
                <w:color w:val="auto"/>
                <w:sz w:val="22"/>
                <w:szCs w:val="22"/>
              </w:rPr>
            </m:ctrlPr>
          </m:e>
          <m:sub>
            <m:r>
              <m:rPr>
                <m:sty m:val="bi"/>
              </m:rPr>
              <w:rPr>
                <w:rFonts w:hint="default" w:ascii="Cambria Math" w:hAnsi="Cambria Math" w:eastAsia="MS Mincho"/>
                <w:color w:val="auto"/>
                <w:sz w:val="22"/>
                <w:szCs w:val="22"/>
              </w:rPr>
              <m:t>s</m:t>
            </m:r>
            <m:ctrlPr>
              <w:rPr>
                <w:rFonts w:ascii="Cambria Math" w:hAnsi="Cambria Math" w:eastAsia="MS Mincho"/>
                <w:b/>
                <w:bCs/>
                <w:i/>
                <w:iCs w:val="0"/>
                <w:color w:val="auto"/>
                <w:sz w:val="22"/>
                <w:szCs w:val="22"/>
              </w:rPr>
            </m:ctrlPr>
          </m:sub>
        </m:sSub>
      </m:oMath>
      <w:r>
        <w:rPr>
          <w:rFonts w:hint="eastAsia" w:hAnsi="Cambria Math" w:eastAsia="宋体"/>
          <w:b/>
          <w:bCs/>
          <w:i/>
          <w:iCs w:val="0"/>
          <w:color w:val="auto"/>
          <w:sz w:val="22"/>
          <w:szCs w:val="22"/>
          <w:lang w:val="en-US" w:eastAsia="zh-CN"/>
        </w:rPr>
        <w:t xml:space="preserve">. </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i/>
          <w:sz w:val="22"/>
          <w:szCs w:val="22"/>
          <w:lang w:val="en-US" w:eastAsia="zh-CN"/>
        </w:rPr>
      </w:pPr>
      <w:r>
        <w:rPr>
          <w:rFonts w:hint="eastAsia"/>
          <w:b/>
          <w:i/>
          <w:sz w:val="22"/>
          <w:szCs w:val="22"/>
          <w:lang w:val="en-US" w:eastAsia="zh-CN"/>
        </w:rPr>
        <w:t>: For based on Rel-16 Type-II codebook CRI-based CSI refinement, support two UE capabilities:</w:t>
      </w:r>
    </w:p>
    <w:p>
      <w:pPr>
        <w:widowControl w:val="0"/>
        <w:numPr>
          <w:ilvl w:val="0"/>
          <w:numId w:val="0"/>
        </w:numPr>
        <w:snapToGrid w:val="0"/>
        <w:ind w:left="1080" w:leftChars="0"/>
        <w:rPr>
          <w:rFonts w:hint="default" w:eastAsia="宋体"/>
          <w:b/>
          <w:bCs w:val="0"/>
          <w:i/>
          <w:iCs w:val="0"/>
          <w:sz w:val="22"/>
          <w:szCs w:val="22"/>
          <w:lang w:val="en-US" w:eastAsia="zh-CN"/>
        </w:rPr>
      </w:pPr>
      <w:r>
        <w:rPr>
          <w:b/>
          <w:bCs w:val="0"/>
          <w:i/>
          <w:iCs w:val="0"/>
          <w:sz w:val="22"/>
          <w:szCs w:val="22"/>
        </w:rPr>
        <w:t xml:space="preserve">Capability 1: </w:t>
      </w:r>
      <w:r>
        <w:rPr>
          <w:rFonts w:hint="eastAsia"/>
          <w:b/>
          <w:bCs w:val="0"/>
          <w:i/>
          <w:iCs w:val="0"/>
          <w:sz w:val="22"/>
          <w:szCs w:val="22"/>
          <w:lang w:val="en-US" w:eastAsia="zh-CN"/>
        </w:rPr>
        <w:t xml:space="preserve">Reuse legacy </w:t>
      </w:r>
      <m:oMath>
        <m:r>
          <m:rPr>
            <m:sty m:val="bi"/>
          </m:rPr>
          <w:rPr>
            <w:rFonts w:ascii="Cambria Math" w:hAnsi="Cambria Math"/>
            <w:sz w:val="22"/>
            <w:szCs w:val="22"/>
            <w:highlight w:val="none"/>
          </w:rPr>
          <m:t>(</m:t>
        </m:r>
        <m:sSub>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r>
          <m:rPr>
            <m:sty m:val="bi"/>
          </m:rPr>
          <w:rPr>
            <w:rFonts w:ascii="Cambria Math" w:hAnsi="Cambria Math"/>
            <w:sz w:val="22"/>
            <w:szCs w:val="22"/>
            <w:highlight w:val="none"/>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r>
          <m:rPr>
            <m:sty m:val="bi"/>
          </m:rPr>
          <w:rPr>
            <w:rFonts w:ascii="Cambria Math" w:hAnsi="Cambria Math"/>
            <w:sz w:val="22"/>
            <w:szCs w:val="22"/>
            <w:highlight w:val="none"/>
          </w:rPr>
          <m:t>)</m:t>
        </m:r>
      </m:oMath>
      <w:r>
        <w:rPr>
          <w:b/>
          <w:bCs w:val="0"/>
          <w:i/>
          <w:iCs w:val="0"/>
          <w:sz w:val="22"/>
          <w:szCs w:val="22"/>
        </w:rPr>
        <w:t xml:space="preserve"> </w:t>
      </w:r>
      <w:r>
        <w:rPr>
          <w:rFonts w:hint="eastAsia"/>
          <w:b/>
          <w:bCs w:val="0"/>
          <w:i/>
          <w:iCs w:val="0"/>
          <w:sz w:val="22"/>
          <w:szCs w:val="22"/>
          <w:lang w:val="en-US" w:eastAsia="zh-CN"/>
        </w:rPr>
        <w:t>values</w:t>
      </w:r>
    </w:p>
    <w:p>
      <w:pPr>
        <w:widowControl w:val="0"/>
        <w:numPr>
          <w:ilvl w:val="0"/>
          <w:numId w:val="0"/>
        </w:numPr>
        <w:snapToGrid w:val="0"/>
        <w:ind w:left="1080" w:leftChars="0"/>
        <w:rPr>
          <w:rFonts w:hint="default" w:eastAsia="宋体"/>
          <w:b/>
          <w:bCs w:val="0"/>
          <w:i/>
          <w:iCs w:val="0"/>
          <w:sz w:val="22"/>
          <w:szCs w:val="22"/>
          <w:lang w:val="en-US" w:eastAsia="zh-CN"/>
        </w:rPr>
      </w:pPr>
      <w:r>
        <w:rPr>
          <w:b/>
          <w:bCs w:val="0"/>
          <w:i/>
          <w:iCs w:val="0"/>
          <w:sz w:val="22"/>
          <w:szCs w:val="22"/>
        </w:rPr>
        <w:t xml:space="preserve">Capability 2: </w:t>
      </w:r>
      <w:r>
        <w:rPr>
          <w:rFonts w:hint="eastAsia"/>
          <w:b/>
          <w:bCs w:val="0"/>
          <w:i/>
          <w:iCs w:val="0"/>
          <w:sz w:val="22"/>
          <w:szCs w:val="22"/>
          <w:lang w:val="en-US" w:eastAsia="zh-CN"/>
        </w:rPr>
        <w:t xml:space="preserve">Reuse legacy </w:t>
      </w:r>
      <m:oMath>
        <m:r>
          <m:rPr>
            <m:sty m:val="bi"/>
          </m:rPr>
          <w:rPr>
            <w:rFonts w:ascii="Cambria Math" w:hAnsi="Cambria Math"/>
            <w:sz w:val="22"/>
            <w:szCs w:val="22"/>
            <w:highlight w:val="none"/>
          </w:rPr>
          <m:t>(</m:t>
        </m:r>
        <m:sSub>
          <m:sSubPr>
            <m:ctrlPr>
              <w:rPr>
                <w:rFonts w:ascii="Cambria Math" w:hAnsi="Cambria Math"/>
                <w:b/>
                <w:bCs/>
                <w:i/>
                <w:sz w:val="22"/>
                <w:szCs w:val="22"/>
                <w:highlight w:val="none"/>
              </w:rPr>
            </m:ctrlPr>
          </m:sSubPr>
          <m:e>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Sub>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lang w:val="en-US" w:eastAsia="zh-CN"/>
              </w:rPr>
              <m:t>+</m:t>
            </m:r>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r>
          <m:rPr>
            <m:sty m:val="bi"/>
          </m:rPr>
          <w:rPr>
            <w:rFonts w:ascii="Cambria Math" w:hAnsi="Cambria Math"/>
            <w:sz w:val="22"/>
            <w:szCs w:val="22"/>
            <w:highlight w:val="none"/>
          </w:rPr>
          <m:t>,</m:t>
        </m:r>
        <m:sSubSup>
          <m:sSubSupPr>
            <m:ctrlPr>
              <w:rPr>
                <w:rFonts w:ascii="Cambria Math" w:hAnsi="Cambria Math"/>
                <w:b/>
                <w:bCs/>
                <w:i/>
                <w:sz w:val="22"/>
                <w:szCs w:val="22"/>
                <w:highlight w:val="none"/>
              </w:rPr>
            </m:ctrlPr>
          </m:sSubSupPr>
          <m:e>
            <m:r>
              <m:rPr>
                <m:sty m:val="bi"/>
              </m:rPr>
              <w:rPr>
                <w:rFonts w:hint="default" w:ascii="Cambria Math" w:hAnsi="Cambria Math"/>
                <w:sz w:val="22"/>
                <w:szCs w:val="22"/>
                <w:highlight w:val="none"/>
                <w:lang w:val="en-US" w:eastAsia="zh-CN"/>
              </w:rPr>
              <m:t>2</m:t>
            </m:r>
            <m:r>
              <m:rPr>
                <m:sty m:val="bi"/>
              </m:rPr>
              <w:rPr>
                <w:rFonts w:hint="default" w:ascii="Cambria Math" w:hAnsi="Cambria Math"/>
                <w:sz w:val="22"/>
                <w:szCs w:val="22"/>
                <w:highlight w:val="none"/>
              </w:rPr>
              <m:t>Z</m:t>
            </m:r>
            <m:ctrlPr>
              <w:rPr>
                <w:rFonts w:ascii="Cambria Math" w:hAnsi="Cambria Math"/>
                <w:b/>
                <w:bCs/>
                <w:i/>
                <w:sz w:val="22"/>
                <w:szCs w:val="22"/>
                <w:highlight w:val="none"/>
              </w:rPr>
            </m:ctrlPr>
          </m:e>
          <m:sub>
            <m:r>
              <m:rPr>
                <m:sty m:val="bi"/>
              </m:rPr>
              <w:rPr>
                <w:rFonts w:hint="default" w:ascii="Cambria Math" w:hAnsi="Cambria Math"/>
                <w:sz w:val="22"/>
                <w:szCs w:val="22"/>
                <w:highlight w:val="none"/>
              </w:rPr>
              <m:t>2</m:t>
            </m:r>
            <m:ctrlPr>
              <w:rPr>
                <w:rFonts w:ascii="Cambria Math" w:hAnsi="Cambria Math"/>
                <w:b/>
                <w:bCs/>
                <w:i/>
                <w:sz w:val="22"/>
                <w:szCs w:val="22"/>
                <w:highlight w:val="none"/>
              </w:rPr>
            </m:ctrlPr>
          </m:sub>
          <m:sup>
            <m:r>
              <m:rPr>
                <m:sty m:val="bi"/>
              </m:rPr>
              <w:rPr>
                <w:rFonts w:ascii="Cambria Math" w:hAnsi="Cambria Math"/>
                <w:sz w:val="22"/>
                <w:szCs w:val="22"/>
                <w:highlight w:val="none"/>
              </w:rPr>
              <m:t>'</m:t>
            </m:r>
            <m:ctrlPr>
              <w:rPr>
                <w:rFonts w:ascii="Cambria Math" w:hAnsi="Cambria Math"/>
                <w:b/>
                <w:bCs/>
                <w:i/>
                <w:sz w:val="22"/>
                <w:szCs w:val="22"/>
                <w:highlight w:val="none"/>
              </w:rPr>
            </m:ctrlPr>
          </m:sup>
        </m:sSubSup>
        <m:r>
          <m:rPr>
            <m:sty m:val="bi"/>
          </m:rPr>
          <w:rPr>
            <w:rFonts w:ascii="Cambria Math" w:hAnsi="Cambria Math"/>
            <w:sz w:val="22"/>
            <w:szCs w:val="22"/>
            <w:highlight w:val="none"/>
          </w:rPr>
          <m:t>)</m:t>
        </m:r>
      </m:oMath>
      <w:r>
        <w:rPr>
          <w:rFonts w:hint="eastAsia" w:hAnsi="Cambria Math"/>
          <w:b/>
          <w:i/>
          <w:sz w:val="22"/>
          <w:szCs w:val="22"/>
          <w:highlight w:val="none"/>
          <w:lang w:val="en-US" w:eastAsia="zh-CN"/>
        </w:rPr>
        <w:t xml:space="preserve"> for Rel-18 CJT</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For TDD system based on reciprocity, frequency offset, delay offset, and phase offset calibration joint reporting should be considered. </w:t>
      </w:r>
    </w:p>
    <w:p>
      <w:pPr>
        <w:pStyle w:val="90"/>
        <w:keepNext w:val="0"/>
        <w:keepLines w:val="0"/>
        <w:pageBreakBefore w:val="0"/>
        <w:widowControl/>
        <w:numPr>
          <w:numId w:val="12"/>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eastAsia"/>
          <w:b/>
          <w:bCs/>
          <w:i/>
          <w:iCs w:val="0"/>
          <w:sz w:val="22"/>
          <w:szCs w:val="22"/>
          <w:lang w:val="en-US" w:eastAsia="zh-CN"/>
        </w:rPr>
      </w:pPr>
      <w:r>
        <w:rPr>
          <w:rFonts w:hint="eastAsia"/>
          <w:b/>
          <w:i/>
          <w:sz w:val="22"/>
          <w:szCs w:val="22"/>
          <w:lang w:val="en-US" w:eastAsia="zh-CN"/>
        </w:rPr>
        <w:t xml:space="preserve">: When reporting multiple calibration quantities in a single report, the </w:t>
      </w:r>
      <w:r>
        <w:rPr>
          <w:rFonts w:hint="default"/>
          <w:b/>
          <w:i/>
          <w:sz w:val="22"/>
          <w:szCs w:val="22"/>
          <w:lang w:val="en-US" w:eastAsia="zh-CN"/>
        </w:rPr>
        <w:t>‘</w:t>
      </w:r>
      <w:r>
        <w:rPr>
          <w:rFonts w:hint="eastAsia"/>
          <w:b/>
          <w:i/>
          <w:sz w:val="22"/>
          <w:szCs w:val="22"/>
          <w:lang w:val="en-US" w:eastAsia="zh-CN"/>
        </w:rPr>
        <w:t>invalid</w:t>
      </w:r>
      <w:r>
        <w:rPr>
          <w:rFonts w:hint="default"/>
          <w:b/>
          <w:i/>
          <w:sz w:val="22"/>
          <w:szCs w:val="22"/>
          <w:lang w:val="en-US" w:eastAsia="zh-CN"/>
        </w:rPr>
        <w:t>’</w:t>
      </w:r>
      <w:r>
        <w:rPr>
          <w:rFonts w:hint="eastAsia"/>
          <w:b/>
          <w:i/>
          <w:sz w:val="22"/>
          <w:szCs w:val="22"/>
          <w:lang w:val="en-US" w:eastAsia="zh-CN"/>
        </w:rPr>
        <w:t xml:space="preserve"> indication information can be share between them.</w:t>
      </w:r>
    </w:p>
    <w:p>
      <w:pPr>
        <w:rPr>
          <w:rFonts w:hint="eastAsia"/>
          <w:lang w:val="en-US" w:eastAsia="zh-CN"/>
        </w:rPr>
      </w:pPr>
    </w:p>
    <w:p>
      <w:pPr>
        <w:rPr>
          <w:rFonts w:hint="eastAsia"/>
          <w:lang w:val="en-GB" w:eastAsia="zh-CN"/>
        </w:rPr>
      </w:pPr>
    </w:p>
    <w:p>
      <w:pPr>
        <w:pStyle w:val="2"/>
        <w:numPr>
          <w:ilvl w:val="0"/>
          <w:numId w:val="0"/>
        </w:numPr>
        <w:ind w:left="432" w:hanging="432"/>
      </w:pPr>
      <w:bookmarkStart w:id="24" w:name="_Ref71620620"/>
      <w:bookmarkStart w:id="25" w:name="_Ref124671424"/>
      <w:bookmarkStart w:id="26" w:name="_Ref124589665"/>
      <w:r>
        <w:t>References</w:t>
      </w:r>
    </w:p>
    <w:bookmarkEnd w:id="2"/>
    <w:bookmarkEnd w:id="24"/>
    <w:bookmarkEnd w:id="25"/>
    <w:bookmarkEnd w:id="26"/>
    <w:p>
      <w:pPr>
        <w:rPr>
          <w:rFonts w:hint="default"/>
          <w:lang w:val="en-US"/>
        </w:rPr>
      </w:pPr>
      <w:r>
        <w:rPr>
          <w:rFonts w:hint="eastAsia"/>
          <w:kern w:val="2"/>
          <w:lang w:val="en-GB" w:eastAsia="zh-CN"/>
        </w:rPr>
        <w:t>[</w:t>
      </w:r>
      <w:r>
        <w:rPr>
          <w:kern w:val="2"/>
          <w:lang w:val="en-GB" w:eastAsia="zh-CN"/>
        </w:rPr>
        <w:t xml:space="preserve">1] </w:t>
      </w:r>
      <w:r>
        <w:rPr>
          <w:rFonts w:eastAsiaTheme="minorEastAsia"/>
          <w:lang w:val="en-GB" w:eastAsia="zh-CN"/>
        </w:rPr>
        <w:t>RAN1, Chair’s Notes RAN1#11</w:t>
      </w:r>
      <w:r>
        <w:rPr>
          <w:rFonts w:hint="eastAsia" w:eastAsiaTheme="minorEastAsia"/>
          <w:lang w:val="en-US" w:eastAsia="zh-CN"/>
        </w:rPr>
        <w:t>6</w:t>
      </w:r>
      <w:r>
        <w:rPr>
          <w:rFonts w:eastAsiaTheme="minorEastAsia"/>
          <w:lang w:val="en-GB" w:eastAsia="zh-CN"/>
        </w:rPr>
        <w:t xml:space="preserve">, </w:t>
      </w:r>
      <w:r>
        <w:rPr>
          <w:rFonts w:hint="eastAsia" w:eastAsiaTheme="minorEastAsia"/>
          <w:lang w:val="en-US" w:eastAsia="zh-CN"/>
        </w:rPr>
        <w:t>Feb. 26</w:t>
      </w:r>
      <w:r>
        <w:rPr>
          <w:rFonts w:eastAsiaTheme="minorEastAsia"/>
          <w:lang w:val="en-GB" w:eastAsia="zh-CN"/>
        </w:rPr>
        <w:t xml:space="preserve"> –</w:t>
      </w:r>
      <w:r>
        <w:rPr>
          <w:rFonts w:hint="eastAsia" w:eastAsiaTheme="minorEastAsia"/>
          <w:lang w:val="en-US" w:eastAsia="zh-CN"/>
        </w:rPr>
        <w:t xml:space="preserve"> Mar.</w:t>
      </w:r>
      <w:r>
        <w:rPr>
          <w:rFonts w:eastAsiaTheme="minorEastAsia"/>
          <w:lang w:val="en-GB" w:eastAsia="zh-CN"/>
        </w:rPr>
        <w:t xml:space="preserve"> 26, 202</w:t>
      </w:r>
      <w:r>
        <w:rPr>
          <w:rFonts w:hint="eastAsia" w:eastAsiaTheme="minorEastAsia"/>
          <w:lang w:val="en-US" w:eastAsia="zh-CN"/>
        </w:rPr>
        <w:t>4</w:t>
      </w:r>
    </w:p>
    <w:p>
      <w:pPr>
        <w:rPr>
          <w:lang w:val="en-GB"/>
        </w:rPr>
      </w:pPr>
    </w:p>
    <w:p>
      <w:pPr>
        <w:rPr>
          <w:lang w:val="en-GB"/>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Courier New">
    <w:panose1 w:val="02070309020205020404"/>
    <w:charset w:val="00"/>
    <w:family w:val="auto"/>
    <w:pitch w:val="default"/>
    <w:sig w:usb0="E0002EFF" w:usb1="C0007843" w:usb2="00000009" w:usb3="00000000" w:csb0="400001FF" w:csb1="FFFF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90"/>
      <w:suff w:val="space"/>
      <w:lvlText w:val="Proposal %1"/>
      <w:lvlJc w:val="left"/>
      <w:pPr>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18A101E1"/>
    <w:multiLevelType w:val="multilevel"/>
    <w:tmpl w:val="18A101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F6A59DC"/>
    <w:multiLevelType w:val="multilevel"/>
    <w:tmpl w:val="1F6A59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03F40A0"/>
    <w:multiLevelType w:val="multilevel"/>
    <w:tmpl w:val="203F40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FBA2587"/>
    <w:multiLevelType w:val="multilevel"/>
    <w:tmpl w:val="2FBA25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8">
    <w:nsid w:val="41C02B68"/>
    <w:multiLevelType w:val="multilevel"/>
    <w:tmpl w:val="41C02B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253689D"/>
    <w:multiLevelType w:val="multilevel"/>
    <w:tmpl w:val="625368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D613DCF"/>
    <w:multiLevelType w:val="multilevel"/>
    <w:tmpl w:val="7D613D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1"/>
  </w:num>
  <w:num w:numId="4">
    <w:abstractNumId w:val="0"/>
  </w:num>
  <w:num w:numId="5">
    <w:abstractNumId w:val="5"/>
  </w:num>
  <w:num w:numId="6">
    <w:abstractNumId w:val="4"/>
  </w:num>
  <w:num w:numId="7">
    <w:abstractNumId w:val="8"/>
  </w:num>
  <w:num w:numId="8">
    <w:abstractNumId w:val="3"/>
  </w:num>
  <w:num w:numId="9">
    <w:abstractNumId w:val="10"/>
  </w:num>
  <w:num w:numId="10">
    <w:abstractNumId w:val="2"/>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72"/>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BA7836"/>
    <w:rsid w:val="04185410"/>
    <w:rsid w:val="044A0575"/>
    <w:rsid w:val="05B1436D"/>
    <w:rsid w:val="092F5890"/>
    <w:rsid w:val="09F32877"/>
    <w:rsid w:val="0B3A3EBE"/>
    <w:rsid w:val="0B41272D"/>
    <w:rsid w:val="0BF77CFA"/>
    <w:rsid w:val="0D611BD6"/>
    <w:rsid w:val="0D793F3B"/>
    <w:rsid w:val="0E5927F3"/>
    <w:rsid w:val="0FB57D21"/>
    <w:rsid w:val="0FE73EE9"/>
    <w:rsid w:val="101A34D5"/>
    <w:rsid w:val="102D28E0"/>
    <w:rsid w:val="11114067"/>
    <w:rsid w:val="12535865"/>
    <w:rsid w:val="148344FA"/>
    <w:rsid w:val="14BC66C6"/>
    <w:rsid w:val="14E8498B"/>
    <w:rsid w:val="16767B35"/>
    <w:rsid w:val="16C946AA"/>
    <w:rsid w:val="17375756"/>
    <w:rsid w:val="17650515"/>
    <w:rsid w:val="18E15979"/>
    <w:rsid w:val="18F7645E"/>
    <w:rsid w:val="193755E9"/>
    <w:rsid w:val="1B212B46"/>
    <w:rsid w:val="1D641E3D"/>
    <w:rsid w:val="1F5860EC"/>
    <w:rsid w:val="1F996FAD"/>
    <w:rsid w:val="1FBA7558"/>
    <w:rsid w:val="20F4123A"/>
    <w:rsid w:val="214F6135"/>
    <w:rsid w:val="218D2B42"/>
    <w:rsid w:val="245C4A4D"/>
    <w:rsid w:val="265B50F2"/>
    <w:rsid w:val="26AA5F44"/>
    <w:rsid w:val="26E56F7C"/>
    <w:rsid w:val="28127CF5"/>
    <w:rsid w:val="2A0621BF"/>
    <w:rsid w:val="2BCE25D1"/>
    <w:rsid w:val="2EDB397B"/>
    <w:rsid w:val="30936483"/>
    <w:rsid w:val="30CD2F5B"/>
    <w:rsid w:val="31635349"/>
    <w:rsid w:val="318B6972"/>
    <w:rsid w:val="333B17F8"/>
    <w:rsid w:val="352341F8"/>
    <w:rsid w:val="393D0552"/>
    <w:rsid w:val="3AE96BE3"/>
    <w:rsid w:val="3B844B5E"/>
    <w:rsid w:val="3BF9211B"/>
    <w:rsid w:val="41660201"/>
    <w:rsid w:val="43C26C53"/>
    <w:rsid w:val="4409448D"/>
    <w:rsid w:val="462174EE"/>
    <w:rsid w:val="4640401E"/>
    <w:rsid w:val="470F44B8"/>
    <w:rsid w:val="4A007D8A"/>
    <w:rsid w:val="4A270539"/>
    <w:rsid w:val="4B412124"/>
    <w:rsid w:val="4BDA3F3F"/>
    <w:rsid w:val="4D077187"/>
    <w:rsid w:val="4F365D17"/>
    <w:rsid w:val="50265D8C"/>
    <w:rsid w:val="50D2381E"/>
    <w:rsid w:val="50E4627D"/>
    <w:rsid w:val="515D530F"/>
    <w:rsid w:val="51B33440"/>
    <w:rsid w:val="54250771"/>
    <w:rsid w:val="55086E0C"/>
    <w:rsid w:val="55F50744"/>
    <w:rsid w:val="56E878F7"/>
    <w:rsid w:val="578A30A4"/>
    <w:rsid w:val="5B2335F4"/>
    <w:rsid w:val="5C2C0391"/>
    <w:rsid w:val="5CA93FCD"/>
    <w:rsid w:val="5EB822A5"/>
    <w:rsid w:val="5F1762CD"/>
    <w:rsid w:val="617521D5"/>
    <w:rsid w:val="637B56F1"/>
    <w:rsid w:val="63A96660"/>
    <w:rsid w:val="676D5D3F"/>
    <w:rsid w:val="68A14D4D"/>
    <w:rsid w:val="68F24043"/>
    <w:rsid w:val="6A5D1F52"/>
    <w:rsid w:val="6C21592D"/>
    <w:rsid w:val="70512769"/>
    <w:rsid w:val="743F68AF"/>
    <w:rsid w:val="76080B05"/>
    <w:rsid w:val="764F12E9"/>
    <w:rsid w:val="78212B0A"/>
    <w:rsid w:val="79EE4091"/>
    <w:rsid w:val="7A551106"/>
    <w:rsid w:val="7E362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autoRedefine/>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autoRedefine/>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autoRedefine/>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autoRedefine/>
    <w:qFormat/>
    <w:uiPriority w:val="99"/>
    <w:pPr>
      <w:tabs>
        <w:tab w:val="center" w:pos="4680"/>
        <w:tab w:val="right" w:pos="9360"/>
      </w:tabs>
    </w:pPr>
  </w:style>
  <w:style w:type="paragraph" w:styleId="19">
    <w:name w:val="footnote text"/>
    <w:basedOn w:val="1"/>
    <w:link w:val="81"/>
    <w:autoRedefine/>
    <w:semiHidden/>
    <w:qFormat/>
    <w:uiPriority w:val="99"/>
    <w:rPr>
      <w:sz w:val="20"/>
      <w:szCs w:val="20"/>
    </w:rPr>
  </w:style>
  <w:style w:type="paragraph" w:styleId="20">
    <w:name w:val="Body Text 2"/>
    <w:basedOn w:val="1"/>
    <w:link w:val="79"/>
    <w:autoRedefine/>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autoRedefine/>
    <w:semiHidden/>
    <w:unhideWhenUsed/>
    <w:qFormat/>
    <w:uiPriority w:val="99"/>
    <w:rPr>
      <w:b/>
      <w:bCs/>
    </w:rPr>
  </w:style>
  <w:style w:type="paragraph" w:styleId="23">
    <w:name w:val="Body Text First Indent"/>
    <w:basedOn w:val="15"/>
    <w:link w:val="54"/>
    <w:autoRedefine/>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autoRedefine/>
    <w:qFormat/>
    <w:uiPriority w:val="0"/>
    <w:rPr>
      <w:color w:val="0000FF"/>
      <w:u w:val="single"/>
    </w:rPr>
  </w:style>
  <w:style w:type="character" w:styleId="31">
    <w:name w:val="annotation reference"/>
    <w:basedOn w:val="26"/>
    <w:autoRedefine/>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autoRedefine/>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autoRedefine/>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autoRedefine/>
    <w:qFormat/>
    <w:uiPriority w:val="99"/>
    <w:rPr>
      <w:sz w:val="22"/>
      <w:szCs w:val="22"/>
    </w:rPr>
  </w:style>
  <w:style w:type="character" w:customStyle="1" w:styleId="41">
    <w:name w:val="页脚 字符"/>
    <w:basedOn w:val="26"/>
    <w:link w:val="17"/>
    <w:autoRedefine/>
    <w:qFormat/>
    <w:uiPriority w:val="99"/>
    <w:rPr>
      <w:sz w:val="22"/>
      <w:szCs w:val="22"/>
    </w:rPr>
  </w:style>
  <w:style w:type="paragraph" w:customStyle="1" w:styleId="42">
    <w:name w:val="tablecol"/>
    <w:basedOn w:val="39"/>
    <w:autoRedefine/>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autoRedefine/>
    <w:semiHidden/>
    <w:qFormat/>
    <w:uiPriority w:val="99"/>
    <w:rPr>
      <w:color w:val="808080"/>
    </w:rPr>
  </w:style>
  <w:style w:type="character" w:customStyle="1" w:styleId="45">
    <w:name w:val="批注文字 字符"/>
    <w:basedOn w:val="26"/>
    <w:link w:val="14"/>
    <w:autoRedefine/>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autoRedefine/>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autoRedefine/>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autoRedefine/>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locked/>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locked/>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autoRedefine/>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autoRedefine/>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autoRedefine/>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autoRedefine/>
    <w:qFormat/>
    <w:uiPriority w:val="0"/>
    <w:rPr>
      <w:i/>
      <w:iCs/>
      <w:sz w:val="24"/>
      <w:szCs w:val="24"/>
    </w:rPr>
  </w:style>
  <w:style w:type="character" w:customStyle="1" w:styleId="78">
    <w:name w:val="标题 9 字符"/>
    <w:basedOn w:val="26"/>
    <w:link w:val="10"/>
    <w:autoRedefine/>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autoRedefine/>
    <w:semiHidden/>
    <w:qFormat/>
    <w:uiPriority w:val="99"/>
  </w:style>
  <w:style w:type="character" w:customStyle="1" w:styleId="82">
    <w:name w:val="列表段落 字符3"/>
    <w:autoRedefine/>
    <w:qFormat/>
    <w:locked/>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autoRedefine/>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autoRedefine/>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Proposal"/>
    <w:basedOn w:val="15"/>
    <w:autoRedefine/>
    <w:qFormat/>
    <w:uiPriority w:val="0"/>
    <w:pPr>
      <w:numPr>
        <w:ilvl w:val="0"/>
        <w:numId w:val="4"/>
      </w:numPr>
    </w:pPr>
    <w:rPr>
      <w:b/>
      <w:b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6</Pages>
  <Words>5654</Words>
  <Characters>32233</Characters>
  <Lines>268</Lines>
  <Paragraphs>75</Paragraphs>
  <TotalTime>2</TotalTime>
  <ScaleCrop>false</ScaleCrop>
  <LinksUpToDate>false</LinksUpToDate>
  <CharactersWithSpaces>37812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2024-05-10T13:08:23Z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2052-12.1.0.16729</vt:lpwstr>
  </property>
  <property fmtid="{D5CDD505-2E9C-101B-9397-08002B2CF9AE}" pid="10" name="ICV">
    <vt:lpwstr>D359B5FDEF404FFFACD6E8D3CDB76E75_13</vt:lpwstr>
  </property>
</Properties>
</file>